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Probabilité de survie globale, % [IC95%]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Caractéristique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12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24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36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48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83,1 [76,1 ; 90,8]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62,8 [53,3 ; 74,1]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50,6 [40,1 ; 63,8]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29,7 [18,0 ; 49,0]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999999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88,7 [80,5 ; 97,6]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65,7 [53,2 ; 81,2]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47,7 [34,2 ; 66,7]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31,8 [18,0 ; 56,3]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0099FF"/>
              </w:rPr>
              <w:t xml:space="preserve">Péri-opératoire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77,7 [66,8 ; 90,2]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60,1 [46,5 ; 77,8]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55,5 [41,1 ; 75,0]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27,8 [11,8 ; 65,3]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Test du log-rank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délai entre la chirurgie et le décès toutes causes. Les patients sans évènement sont censurés à la date de point du centre. IC95% : intervalle de confiance à 95%.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2026-08-31T01:04:55Z</dcterms:modified>
  <cp:category/>
</cp:coreProperties>
</file>