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4964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Total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(N=94)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(n=50, 53,2%)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(n=44, 46,8%)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Toxicité de grade III-IV,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23 (25,0)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20 (40,0)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 (7,1)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Diarrhée,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 (9,8)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 (18,0)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Neurotoxicité,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 (9,8)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 (7,1)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Nausées/vomissement,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 (8,7)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 (16,0)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Asthénie,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Neutropénie,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Cytolyse/cholestase, n (%)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1/2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Selon la Common Terminology Criteria for Adverse Events (CTCAE) v5.0.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Patients ayant reçu au moins une cure de chimiothérapie adjuvante (94 sur 103 patients inclus). DM : données manquantes par groupe.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2026-08-31T01:04:57Z</dcterms:modified>
  <cp:category/>
</cp:coreProperties>
</file>