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4136"/>
        <w:tblLook w:firstRow="1" w:lastRow="0" w:firstColumn="0" w:lastColumn="0" w:noHBand="0" w:noVBand="1"/>
      </w:tblPr>
      <w:tr>
        <w:trPr>
          <w:trHeight w:val="638" w:hRule="auto"/>
          <w:tblHeader/>
        </w:trPr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Protocole de chimiothérapie</w:t>
            </w:r>
          </w:p>
        </w:tc>
      </w:tr>
      <w:tr>
        <w:trPr>
          <w:trHeight w:val="902" w:hRule="auto"/>
          <w:tblHeader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DM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Péri-opératoire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br/>
            </w:r>
            <w:r>
              <w:rPr>
                <w:rFonts w:ascii="Luciole" w:hAnsi="Luciole" w:eastAsia="Luciole" w:cs="Luciole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(n=50)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Dernière dose reçue</w:t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5-FU,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100,0 (80,0—100,0)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Irinotécan,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70,0 (60,0—90,0)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Oxaliplatine, %, médiane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80,0 (50,0—100,0)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43 (86,0)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Pourcentage d'adaptation, n (%)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20"/>
                <w:szCs w:val="20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Pas d'adaptation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6 (12,0)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38 (76,0)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C4,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10 (20,4)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14 (28,6)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25 (51,0)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C8,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1 (5,9)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7 (41,2)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9 (52,9)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Adaptation de dose à C12,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&lt;=20%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A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(50,0)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20"/>
                <w:szCs w:val="20"/>
                <w:color w:val="333333"/>
              </w:rPr>
              <w:t xml:space="preserve">&gt;20%</w:t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/>
            </w:r>
          </w:p>
        </w:tc>
        <w:tc>
          <w:tcPr>
            <w:tcBorders>
              <w:bottom w:val="single" w:sz="8" w:space="0" w:color="33333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8"/>
                <w:szCs w:val="18"/>
                <w:color w:val="333333"/>
              </w:rPr>
              <w:t xml:space="preserve">2 (50,0)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333333"/>
              </w:rPr>
              <w:t xml:space="preserve">1</w:t>
            </w: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Adaptation maximale parmi les trois molécules, à la dernière cure.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both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</w:pPr>
            <w:r>
              <w:rPr>
                <w:rFonts w:ascii="Luciole" w:hAnsi="Luciole" w:eastAsia="Luciole" w:cs="Luciole"/>
                <w:i w:val="false"/>
                <w:b w:val="false"/>
                <w:u w:val="none"/>
                <w:strike w:val="false"/>
                <w:sz w:val="16"/>
                <w:szCs w:val="16"/>
                <w:color w:val="333333"/>
              </w:rPr>
              <w:t xml:space="preserve">IQR : intervalle interquartile ; DM : données manquantes par groupe.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julien</cp:lastModifiedBy>
  <cp:revision>9</cp:revision>
  <dcterms:created xsi:type="dcterms:W3CDTF">2017-02-28T11:18:00Z</dcterms:created>
  <dcterms:modified xsi:type="dcterms:W3CDTF">2026-08-31T01:05:03Z</dcterms:modified>
  <cp:category/>
</cp:coreProperties>
</file>