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Délai entre diagnostic et chirurgie, mois, médiane (IQR)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3,3 (1,5—5,7)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 (1,1—2,1)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5,2 (4,2—7,1)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(17,5)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(30,0)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 et métastatique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sites métastatiques,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(68,3)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(61,9)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(75,0)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&gt;=2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(31,7)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(38,1)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(25,0)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Site métastatique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 hépatique,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(22,3)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(26,4)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 péritonéale,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 ganglionnaire,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(9,7)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 pulmonaire,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(9,7)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 cérébrale,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 autre,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Parmi les patients ayant récidivé au niveau métastatique ou à la fois au niveau local et métastatique.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2026-08-31T01:05:06Z</dcterms:modified>
  <cp:category/>
</cp:coreProperties>
</file>