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emf" ContentType="image/x-emf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re"/>
      </w:pPr>
      <w:r>
        <w:t xml:space="preserve">test render tables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50" w:name="analyse-descriptive"/>
    <w:p>
      <w:pPr>
        <w:pStyle w:val="Titre1"/>
      </w:pPr>
      <w:r>
        <w:t xml:space="preserve">Analyse descriptive</w:t>
      </w:r>
    </w:p>
    <w:bookmarkStart w:id="35" w:name="Xcc08d3b94eafb484e5945b2c6104aa7d7edd55d"/>
    <w:p>
      <w:pPr>
        <w:pStyle w:val="Titre2"/>
      </w:pPr>
      <w:r>
        <w:t xml:space="preserve">Caractéristiques des patients at baseline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basel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1. Caractéristiques des patients at baseline,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(30,2)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(24,3)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(35,0)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(48,0)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(16,5)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(18,9)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Sexe,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Femme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(45,6)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(37,7)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Homme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(62,3)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65,3 (57,9—70,8)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66,1 (59,5—71,9)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63,5 (55,8—67,9)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(36,0)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60-69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42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(39,6)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≥70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(32,1)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(22,0)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(81,8)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(52,2)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(30,0)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(15,9)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(43,5)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Douleur au diagnostic,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40 (40,8)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diagnostic, UI/L,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82,0 (20,0—147,0)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79,0 (25,0—110,0)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90,0 (19,0—331,0)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 19-9 au diagnostic &gt;= 500 UI/L,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23/23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Localisation tumorale,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Tête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79 (76,7)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Corps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Queue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T1-T2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85 (85,0)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(80,4)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(89,8)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T3-T4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(15,0)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(29,0)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(25,5)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(49,0)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(54,9)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(22,0)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(19,6)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Stade M,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102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 (100,0)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(100,0)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4"/>
        </w:tc>
      </w:tr>
    </w:tbl>
    <w:p>
      <w:r>
        <w:br w:type="page"/>
      </w:r>
    </w:p>
    <w:bookmarkEnd w:id="35"/>
    <w:bookmarkStart w:id="37" w:name="X178ecd3f75058ae310c911b7c19e20799eb7773"/>
    <w:p>
      <w:pPr>
        <w:pStyle w:val="Titre2"/>
      </w:pPr>
      <w:r>
        <w:t xml:space="preserve">Caractéristiques tumorales et prise en charge chirurgicale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tum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 Caractéristiques tumorales et prise en charge chirurgicale,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Délai entre diagnostic et chirurgie, mois,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3,3 (1,5—5,7)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 (1,1—2,1)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5,2 (4,2—7,1)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 (63,3)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(39,6)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(17,3)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 (35,4)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Durée d'hospitalisation, jours,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16,0 (12,0—23,0)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16,5 (12,0—21,0)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15,0 (12,0—23,0)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Complication post-opératoire,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 (61,2)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29 (56,9)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III-IV-V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(14,3)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Résection chirurgicale,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2/6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 (71,6)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 (70,6)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32 (72,7)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(28,4)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(29,4)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(27,3)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Type de récidive,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Aucune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27 (50,9)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 (38,0)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 (17,5)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 (24,0)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(27,2)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(24,5)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(30,0)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 et métastatique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(10,7)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sites métastatiques,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 (68,3)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(61,9)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 (75,0)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&gt;=2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(31,7)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(38,1)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(25,0)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Site métastatique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hépatique,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(22,3)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(26,4)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péritonéale,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13 (12,6)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ganglionnaire,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pulmonaire,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(9,7)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(14,0)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cérébrale,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 autre,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(1,0)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(1,9)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les critères du National Comprehensive Cancer Network (NCCN).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classification de Clavien-Dindo.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Parmi les patients ayant récidivé au niveau métastatique ou local + métastatique.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36"/>
        </w:tc>
      </w:tr>
    </w:tbl>
    <w:p>
      <w:r>
        <w:br w:type="page"/>
      </w:r>
    </w:p>
    <w:bookmarkEnd w:id="37"/>
    <w:bookmarkStart w:id="39" w:name="critère-de-jugement-principal"/>
    <w:p>
      <w:pPr>
        <w:pStyle w:val="Titre2"/>
      </w:pPr>
      <w:r>
        <w:t xml:space="preserve">Critère de jugement principal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j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3. Nombre de cures reçues,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d'induction,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–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(5,0—9,0)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Chimiothérapie adjuvante,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94 (91,3)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 (94,3)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 (88,0)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de cures,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(5,0—12,0)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12,0 (10,0—12,0)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6,0 (4,0—6,0)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Nombre total de cures &lt; 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(36,9)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(41,5)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ou dose relative moyenne &lt; 80%,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97 (94,2)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49 (92,5)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48 (96,0)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Nombre de patients ayant reçu au moins une cure.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interquartile.</w:t>
                  </w:r>
                </w:p>
              </w:tc>
            </w:tr>
          </w:tbl>
          <w:bookmarkEnd w:id="38"/>
        </w:tc>
      </w:tr>
    </w:tbl>
    <w:p>
      <w:r>
        <w:br w:type="page"/>
      </w:r>
    </w:p>
    <w:bookmarkEnd w:id="39"/>
    <w:bookmarkStart w:id="44" w:name="caractéristiques-du-traitement"/>
    <w:p>
      <w:pPr>
        <w:pStyle w:val="Titre2"/>
      </w:pPr>
      <w:r>
        <w:t xml:space="preserve">Caractéristiques du traitement</w:t>
      </w:r>
    </w:p>
    <w:bookmarkStart w:id="41" w:name="phase-dinduction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ttt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4. Doses reçues et adaptations de doses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136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100,0 (80,0—100,0)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(60,0—90,0)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(50,0—100,0)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43 (86,0)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(76,0)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 (28,6)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(51,0)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(5,9)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 (41,2)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(52,9)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(50,0)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3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40"/>
        </w:tc>
      </w:tr>
    </w:tbl>
    <w:p>
      <w:r>
        <w:br w:type="page"/>
      </w:r>
    </w:p>
    <w:bookmarkEnd w:id="41"/>
    <w:bookmarkStart w:id="43" w:name="phase-adjuvante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ttt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5. Doses reçues et adaptations de doses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Dernière dose reçue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5-FU,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80,0 (75,0—100,0)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Irinotécan,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(50,0—80,0)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70,0 (50,0—75,0)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Oxaliplatine, %, médiane (IQR)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25,0 (0,0—70,0)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0,0 (0,0—75,0)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50,0 (0,0—70,0)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88 (95,7)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47 (94,0)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(97,6)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Pourcentage d'adaptation,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Pas d'adaptation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(4,8)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80 (87,0)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 (82,0)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(92,9)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C4,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3/8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 (39,8)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 (46,8)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 (30,6)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(55,4)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(44,7)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(69,4)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C8,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9/39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(13,0)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(12,2)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38 (82,6)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34 (82,9)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Adaptation de dose à C12,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19/44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(3,2)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&lt;=20%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&gt;20%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24 (77,4)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IQR : intervalle interquartile ; DM : données manquantes par groupe.</w:t>
                  </w:r>
                </w:p>
              </w:tc>
            </w:tr>
          </w:tbl>
          <w:bookmarkEnd w:id="42"/>
        </w:tc>
      </w:tr>
    </w:tbl>
    <w:p>
      <w:r>
        <w:br w:type="page"/>
      </w:r>
    </w:p>
    <w:bookmarkEnd w:id="43"/>
    <w:bookmarkEnd w:id="44"/>
    <w:bookmarkStart w:id="49" w:name="toxicité-chimio-induite"/>
    <w:p>
      <w:pPr>
        <w:pStyle w:val="Titre2"/>
      </w:pPr>
      <w:r>
        <w:t xml:space="preserve">Toxicité chimio-induite</w:t>
      </w:r>
    </w:p>
    <w:bookmarkStart w:id="46" w:name="phase-dinduction-1"/>
    <w:p>
      <w:pPr>
        <w:pStyle w:val="Titre3"/>
      </w:pPr>
      <w:r>
        <w:t xml:space="preserve">Phase d’induction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tox-ind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6. Toxicité chimio-induite de grade III-IV à la phase d’induction,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3723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 (20,0)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(10,0)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 (4,0)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 (2,0)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2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(CTCAE).</w:t>
                  </w:r>
                </w:p>
              </w:tc>
            </w:tr>
          </w:tbl>
          <w:bookmarkEnd w:id="45"/>
        </w:tc>
      </w:tr>
    </w:tbl>
    <w:p>
      <w:r>
        <w:br w:type="page"/>
      </w:r>
    </w:p>
    <w:bookmarkEnd w:id="46"/>
    <w:bookmarkStart w:id="48" w:name="phase-adjuvante-1"/>
    <w:p>
      <w:pPr>
        <w:pStyle w:val="Titre3"/>
      </w:pPr>
      <w:r>
        <w:t xml:space="preserve">Phase adjuvante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tox-adj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7. Toxicité chimio-induite de grade III-IV à la phase adjuvante,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4964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DM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(N=94)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53,2%)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(n=44, 46,8%)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Toxicité de grade III-IV, n (%)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(25,0)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 (40,0)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Diarrhée,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(18,0)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Neurotoxicité,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 (9,8)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 (12,0)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(7,1)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Nausées/vomissement,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(8,7)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(16,0)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Asthénie,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Neutropénie,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0/2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(4,3)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 (8,0)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Cytolyse/cholestase, n (%)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1/2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Selon la Common Terminology Criteria for Adverse Events (CTCAE).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5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DM : données manquantes par groupe.</w:t>
                  </w:r>
                </w:p>
              </w:tc>
            </w:tr>
          </w:tbl>
          <w:bookmarkEnd w:id="47"/>
        </w:tc>
      </w:tr>
    </w:tbl>
    <w:p>
      <w:r>
        <w:br w:type="page"/>
      </w:r>
    </w:p>
    <w:bookmarkEnd w:id="48"/>
    <w:bookmarkEnd w:id="49"/>
    <w:bookmarkEnd w:id="50"/>
    <w:bookmarkStart w:id="55" w:name="analyse-de-survie"/>
    <w:p>
      <w:pPr>
        <w:pStyle w:val="Titre1"/>
      </w:pPr>
      <w:r>
        <w:t xml:space="preserve">Analyse de survie</w:t>
      </w:r>
    </w:p>
    <w:bookmarkStart w:id="52" w:name="évènements"/>
    <w:p>
      <w:pPr>
        <w:pStyle w:val="Titre2"/>
      </w:pPr>
      <w:r>
        <w:t xml:space="preserve">Évènements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eve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8. Évènements.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2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</w:tr>
            <w:tr>
              <w:trPr>
                <w:trHeight w:val="902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(N=103)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(n=53, 51,5%)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(n=50, 48,5%)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toutes causes,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 (44,7)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 (42,0)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Premier évènement, n (%)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56 (54,4)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 (47,2)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31 (62,0)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Décès sans récidive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 (7,8)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 (9,4)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 (6,0)</w:t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Censure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39 (37,9)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 (43,4)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16 (32,0)</w:t>
                  </w:r>
                </w:p>
              </w:tc>
            </w:tr>
          </w:tbl>
          <w:bookmarkEnd w:id="51"/>
        </w:tc>
      </w:tr>
    </w:tbl>
    <w:p>
      <w:r>
        <w:br w:type="page"/>
      </w:r>
    </w:p>
    <w:bookmarkEnd w:id="52"/>
    <w:bookmarkStart w:id="54" w:name="survie-globale"/>
    <w:p>
      <w:pPr>
        <w:pStyle w:val="Titre2"/>
      </w:pPr>
      <w:r>
        <w:t xml:space="preserve">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sur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9. Estimations Kaplan-Meier de la survie globale, globalement et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4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Probabilité de survie globale, % [IC95%]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Caractéristique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12 months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24 months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36 months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48 months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p-valeur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Total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91,2 [85,9 ; 96,9]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68,9 [60,0 ; 79,1]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52,0 [41,5 ; 65,2]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41,6 [30,3 ; 57,0]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0,4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999999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88,7 [80,5 ; 97,6]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66,1 [53,7 ; 81,3]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46,9 [33,0 ; 66,7]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999999"/>
                    </w:rPr>
                    <w:t xml:space="preserve">32,2 [18,4 ; 56,2]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999999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0099FF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94,0 [87,6 ; 100,0]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72,0 [60,0 ; 86,4]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57,8 [43,5 ; 76,8]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0099FF"/>
                    </w:rPr>
                    <w:t xml:space="preserve">52,5 [37,4 ; 73,8]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0099FF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Log-rank test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6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IC95% : intervalle de confiance à 95%.</w:t>
                  </w:r>
                </w:p>
              </w:tc>
            </w:tr>
          </w:tbl>
          <w:bookmarkEnd w:id="53"/>
        </w:tc>
      </w:tr>
    </w:tbl>
    <w:p>
      <w:r>
        <w:br w:type="page"/>
      </w:r>
    </w:p>
    <w:bookmarkEnd w:id="54"/>
    <w:bookmarkEnd w:id="55"/>
    <w:bookmarkStart w:id="60" w:name="analyse-multivariable"/>
    <w:p>
      <w:pPr>
        <w:pStyle w:val="Titre1"/>
      </w:pPr>
      <w:r>
        <w:t xml:space="preserve">Analyse multivariable</w:t>
      </w:r>
    </w:p>
    <w:bookmarkStart w:id="57" w:name="régression-de-quasi-poisson"/>
    <w:p>
      <w:pPr>
        <w:pStyle w:val="Titre2"/>
      </w:pPr>
      <w:r>
        <w:t xml:space="preserve">Régression de quasi-Poisson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10. Facteurs associés à une augmentation du nombre total de cures reçues.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IRR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aIRR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0,004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0,028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[1,06 ; 1,38]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[1,02 ; 1,41]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1,24 [1,02 ; 1,51]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1,30 [1,04 ; 1,63]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1,20 [1,00 ; 1,44]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[0,98 ; 1,50]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1,21 [0,97 ; 1,50]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1,27 [0,99 ; 1,61]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0,96 [0,92 ; 0,99]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0,97 [0,93 ; 1,01]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0,62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1-2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0,98 [0,84 ; 1,15]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0,96 [0,81 ; 1,13]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1,14 [0,96 ; 1,36]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1,29 [1,08 ; 1,53]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régression de quasi-Poisson multivariable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portant sur 90 observations complètes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(13 observations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le nombre total de cures reçues,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modélisé en comptage.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IRR : rapport du nombre moyen ; aIRR : rapport du nombre moyen ajusté ; IC95% : intervalle de confiance à 95%.</w:t>
                  </w:r>
                </w:p>
              </w:tc>
            </w:tr>
          </w:tbl>
          <w:bookmarkEnd w:id="56"/>
        </w:tc>
      </w:tr>
    </w:tbl>
    <w:p>
      <w:r>
        <w:br w:type="page"/>
      </w:r>
    </w:p>
    <w:bookmarkEnd w:id="57"/>
    <w:bookmarkStart w:id="59" w:name="estimation-de-la-survie-globale"/>
    <w:p>
      <w:pPr>
        <w:pStyle w:val="Titre2"/>
      </w:pPr>
      <w:r>
        <w:t xml:space="preserve">Estimation de la survie globale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coxph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11. Estimation de la survie globale, selon le protocole de chimiothérapie.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autofit"/>
              <w:jc w:val="center"/>
              <w:tblW w:type="pct" w:w="5000"/>
              <w:tblLook w:firstRow="1" w:lastRow="0" w:firstColumn="0" w:lastColumn="0" w:noHBand="0" w:noVBand="1"/>
            </w:tblPr>
            <w:tr>
              <w:trPr>
                <w:trHeight w:val="638" w:hRule="auto"/>
                <w:tblHeader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 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univariable</w:t>
                  </w:r>
                </w:p>
              </w:tc>
              <w:tc>
                <w:tcPr>
                  <w:gridSpan w:val="3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Analyse multivariable</w:t>
                  </w:r>
                </w:p>
              </w:tc>
            </w:tr>
            <w:tr>
              <w:trPr>
                <w:trHeight w:val="638" w:hRule="auto"/>
                <w:tblHeader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Variable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n/N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aHR [IC95%]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tru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1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Protocole de chimiothérapie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0,050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Adjuvant seul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25/53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21/44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Péri-opératoire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21/50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0,76 [0,42 ; 1,37]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19/46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0,44 [0,19 ; 1,02]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Centre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0,58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Nantes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14/25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12/20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CHD Vendée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12/25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0,89 [0,41 ; 1,93]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11/22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0,81 [0,35 ; 1,89]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Angers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18/36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1,09 [0,54 ; 2,19]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15/33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1,08 [0,49 ; 2,38]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CHU Lyon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0,41 [0,09 ; 1,80]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0,43 [0,09 ; 1,97]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Âge au diagnostic, années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20"/>
                      <w:szCs w:val="20"/>
                      <w:color w:val="333333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46/103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1,09 [0,92 ; 1,29]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40/90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1,10 [0,91 ; 1,32]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0,32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PS au diagnostic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0,032</w:t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23/60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23/60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1-2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17/30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1,55 [0,82 ; 2,95]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17/30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2,45 [1,08 ; 5,59]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Résécabilité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0,71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Résécable d'emblée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28/62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Référence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08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Borderline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7/19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0,72 [0,31 ; 1,65]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623" w:hRule="auto"/>
              </w:trPr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3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20"/>
                      <w:szCs w:val="20"/>
                      <w:color w:val="333333"/>
                    </w:rPr>
                    <w:t xml:space="preserve">Localement avancé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8/17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>0,85 [0,38 ; 1,88]</w:t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8"/>
                      <w:szCs w:val="18"/>
                      <w:color w:val="333333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8" w:space="0" w:color="333333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0FA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single" w:sz="8" w:space="0" w:color="333333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Modèle de regression de Cox multivariable incluant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40 évènements pour 90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observations complètes (13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observations supprimées pour cause de données manquantes).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vertAlign w:val="superscript"/>
                      <w:sz w:val="16"/>
                      <w:szCs w:val="16"/>
                      <w:color w:val="333333"/>
                    </w:rPr>
                    <w:t xml:space="preserve">2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Incrémentation par tranches de 5 ans.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critère de jugement est la survie globale, définie par le délai entre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le diagnostic et le décès toutes causes. Les patients vivants sont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censurés à la date de point du centre.</w:t>
                  </w:r>
                </w:p>
              </w:tc>
            </w:tr>
            <w:tr>
              <w:trPr>
                <w:trHeight w:val="360" w:hRule="auto"/>
              </w:trPr>
              <w:tc>
                <w:tcPr>
                  <w:gridSpan w:val="7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both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60" w:before="60" w:line="240"/>
                    <w:ind w:left="100" w:right="100" w:firstLine="0" w:firstLineChars="0"/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Luciole" w:hAnsi="Luciole" w:eastAsia="Luciole" w:cs="Luciole"/>
                      <w:i w:val="false"/>
                      <w:b w:val="false"/>
                      <w:u w:val="none"/>
                      <w:strike w:val="false"/>
                      <w:sz w:val="16"/>
                      <w:szCs w:val="16"/>
                      <w:color w:val="333333"/>
                    </w:rPr>
                    <w:t xml:space="preserve">HR : hazard ratio ; aHR : hazard ratio ajusté ; n/N : nombre d'évènements/nombre total d'observations ; IC95% : intervalle de confiance à 95%.</w:t>
                  </w:r>
                </w:p>
              </w:tc>
            </w:tr>
          </w:tbl>
          <w:bookmarkEnd w:id="58"/>
        </w:tc>
      </w:tr>
    </w:tbl>
    <w:bookmarkEnd w:id="59"/>
    <w:bookmarkEnd w:id="60"/>
    <w:sectPr w:rsidR="00C84070" w:rsidRPr="00C84070" w:rsidSect="00BC7ACD">
      <w:footerReference r:id="rId25" w:type="default"/>
      <w:pgSz w:h="16840" w:w="11900"/>
      <w:pgMar w:bottom="1417" w:footer="708" w:gutter="0" w:header="708" w:left="1417" w:right="1417" w:top="1417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44214229"/>
      <w:docPartObj>
        <w:docPartGallery w:val="Page Numbers (Bottom of Page)"/>
        <w:docPartUnique/>
      </w:docPartObj>
    </w:sdtPr>
    <w:sdtEndPr/>
    <w:sdtContent>
      <w:p w14:paraId="49CCCE39" w14:textId="77777777" w:rsidR="003B3367" w:rsidRDefault="003B3367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20</w:t>
        </w:r>
        <w:r>
          <w:fldChar w:fldCharType="end"/>
        </w:r>
      </w:p>
    </w:sdtContent>
  </w:sdt>
  <w:p w14:paraId="51102C62" w14:textId="77777777" w:rsidR="003B3367" w:rsidRDefault="003B3367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4DC0A5C"/>
    <w:multiLevelType w:val="hybridMultilevel"/>
    <w:tmpl w:val="AA5AAA70"/>
    <w:lvl w:ilvl="0" w:tplc="BAE8F50E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01818E7"/>
    <w:multiLevelType w:val="hybridMultilevel"/>
    <w:tmpl w:val="FB8E061C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126E36B9"/>
    <w:multiLevelType w:val="hybridMultilevel"/>
    <w:tmpl w:val="704EC2A0"/>
    <w:lvl w:ilvl="0" w:tplc="E7AEBAA0">
      <w:start w:val="1"/>
      <w:numFmt w:val="bullet"/>
      <w:pStyle w:val="aareferencebiblioul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33D063BB"/>
    <w:multiLevelType w:val="hybridMultilevel"/>
    <w:tmpl w:val="B4B079E6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3DDB48CB"/>
    <w:multiLevelType w:val="hybridMultilevel"/>
    <w:tmpl w:val="C7129EEA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F527A05"/>
    <w:multiLevelType w:val="hybridMultilevel"/>
    <w:tmpl w:val="C848EAB2"/>
    <w:lvl w:ilvl="0" w:tplc="FF6425B4">
      <w:start w:val="10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50E52250"/>
    <w:multiLevelType w:val="hybridMultilevel"/>
    <w:tmpl w:val="67F216A6"/>
    <w:lvl w:ilvl="0" w:tplc="16143D56">
      <w:start w:val="1"/>
      <w:numFmt w:val="decimal"/>
      <w:pStyle w:val="aareferencebiblio"/>
      <w:lvlText w:val="%1."/>
      <w:lvlJc w:val="left"/>
      <w:pPr>
        <w:ind w:hanging="360" w:left="72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7">
    <w:nsid w:val="60FE408A"/>
    <w:multiLevelType w:val="hybridMultilevel"/>
    <w:tmpl w:val="78E0CE88"/>
    <w:lvl w:ilvl="0" w:tplc="D6EEF96A">
      <w:start w:val="1"/>
      <w:numFmt w:val="bullet"/>
      <w:lvlText w:val="-"/>
      <w:lvlJc w:val="left"/>
      <w:pPr>
        <w:ind w:hanging="360" w:left="720"/>
      </w:pPr>
      <w:rPr>
        <w:rFonts w:ascii="Arial" w:cs="Arial" w:eastAsiaTheme="minorEastAsia" w:hAnsi="Aria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696B7C68"/>
    <w:multiLevelType w:val="multilevel"/>
    <w:tmpl w:val="883025DE"/>
    <w:name w:val="Hiérarchie de titres Chazard"/>
    <w:lvl w:ilvl="0">
      <w:start w:val="1"/>
      <w:numFmt w:val="none"/>
      <w:pStyle w:val="Titre"/>
      <w:suff w:val="nothing"/>
      <w:lvlText w:val="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Titre1"/>
      <w:lvlText w:val="%1%2"/>
      <w:lvlJc w:val="left"/>
      <w:pPr>
        <w:ind w:hanging="576" w:left="576"/>
      </w:pPr>
      <w:rPr>
        <w:rFonts w:hint="default"/>
      </w:rPr>
    </w:lvl>
    <w:lvl w:ilvl="2">
      <w:start w:val="1"/>
      <w:numFmt w:val="decimal"/>
      <w:pStyle w:val="Titre2"/>
      <w:lvlText w:val="%1%2.%3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Titre3"/>
      <w:lvlText w:val="%1%2.%3.%4"/>
      <w:lvlJc w:val="left"/>
      <w:pPr>
        <w:ind w:hanging="864" w:left="864"/>
      </w:pPr>
      <w:rPr>
        <w:rFonts w:hint="default"/>
      </w:rPr>
    </w:lvl>
    <w:lvl w:ilvl="4">
      <w:start w:val="1"/>
      <w:numFmt w:val="decimal"/>
      <w:pStyle w:val="Titre4"/>
      <w:lvlText w:val="%1%2.%3.%4.%5"/>
      <w:lvlJc w:val="left"/>
      <w:pPr>
        <w:ind w:hanging="1008" w:left="1008"/>
      </w:pPr>
      <w:rPr>
        <w:rFonts w:hint="default"/>
      </w:rPr>
    </w:lvl>
    <w:lvl w:ilvl="5">
      <w:start w:val="1"/>
      <w:numFmt w:val="decimal"/>
      <w:pStyle w:val="Titre5"/>
      <w:lvlText w:val="%1%2.%3.%4.%5.%6"/>
      <w:lvlJc w:val="left"/>
      <w:pPr>
        <w:ind w:hanging="1152" w:left="1152"/>
      </w:pPr>
      <w:rPr>
        <w:rFonts w:hint="default"/>
      </w:rPr>
    </w:lvl>
    <w:lvl w:ilvl="6">
      <w:start w:val="1"/>
      <w:numFmt w:val="decimal"/>
      <w:pStyle w:val="Titre6"/>
      <w:lvlText w:val="%1%2.%3.%4.%5.%6.%7"/>
      <w:lvlJc w:val="left"/>
      <w:pPr>
        <w:ind w:hanging="1296" w:left="1296"/>
      </w:pPr>
      <w:rPr>
        <w:rFonts w:hint="default"/>
      </w:rPr>
    </w:lvl>
    <w:lvl w:ilvl="7">
      <w:start w:val="1"/>
      <w:numFmt w:val="decimal"/>
      <w:pStyle w:val="Titre7"/>
      <w:lvlText w:val="%1%2.%3.%4.%5.%6.%7.%8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pStyle w:val="Titre8"/>
      <w:lvlText w:val="%1%2.%3.%4.%5.%6.%7.%8.%9"/>
      <w:lvlJc w:val="left"/>
      <w:pPr>
        <w:ind w:hanging="1584" w:left="1584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6"/>
  </w:num>
  <w:num w:numId="2">
    <w:abstractNumId w:val="2"/>
  </w:num>
  <w:num w:numId="3">
    <w:abstractNumId w:val="1"/>
  </w:num>
  <w:num w:numId="4">
    <w:abstractNumId w:val="8"/>
  </w:num>
  <w:num w:numId="5">
    <w:abstractNumId w:val="3"/>
  </w:num>
  <w:num w:numId="6">
    <w:abstractNumId w:val="0"/>
  </w:num>
  <w:num w:numId="7">
    <w:abstractNumId w:val="5"/>
  </w:num>
  <w:num w:numId="8">
    <w:abstractNumId w:val="4"/>
  </w:num>
  <w:num w:numId="9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displayBackgroundShape/>
  <w:embedSystemFonts/>
  <w:proofState w:grammar="clean" w:spelling="clean"/>
  <w:stylePaneFormatFilter w:allStyles="1" w:alternateStyleNames="0" w:clearFormatting="1" w:customStyles="0" w:directFormattingOnNumbering="0" w:directFormattingOnParagraphs="0" w:directFormattingOnRuns="0" w:directFormattingOnTables="0" w:headingStyles="1" w:latentStyles="0" w:numberingStyles="0" w:stylesInUse="0" w:tableStyles="0" w:top3HeadingStyles="0" w:val="1021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EA6"/>
    <w:rsid w:val="000007F1"/>
    <w:rsid w:val="000046D0"/>
    <w:rsid w:val="00004848"/>
    <w:rsid w:val="00010DFD"/>
    <w:rsid w:val="00013237"/>
    <w:rsid w:val="00026A85"/>
    <w:rsid w:val="0002744F"/>
    <w:rsid w:val="00032615"/>
    <w:rsid w:val="0003485A"/>
    <w:rsid w:val="0003783C"/>
    <w:rsid w:val="00041A0B"/>
    <w:rsid w:val="00042989"/>
    <w:rsid w:val="0004648B"/>
    <w:rsid w:val="00046F6D"/>
    <w:rsid w:val="00053909"/>
    <w:rsid w:val="00055B80"/>
    <w:rsid w:val="000567ED"/>
    <w:rsid w:val="00057ACB"/>
    <w:rsid w:val="00057FBA"/>
    <w:rsid w:val="000647D9"/>
    <w:rsid w:val="00065BB0"/>
    <w:rsid w:val="000662E3"/>
    <w:rsid w:val="00070D3B"/>
    <w:rsid w:val="00073481"/>
    <w:rsid w:val="00085BC9"/>
    <w:rsid w:val="00087DE0"/>
    <w:rsid w:val="00087F50"/>
    <w:rsid w:val="00090E2C"/>
    <w:rsid w:val="00093976"/>
    <w:rsid w:val="0009644F"/>
    <w:rsid w:val="000B07BF"/>
    <w:rsid w:val="000C094E"/>
    <w:rsid w:val="000C09D6"/>
    <w:rsid w:val="000C2C82"/>
    <w:rsid w:val="000D1335"/>
    <w:rsid w:val="000D19EB"/>
    <w:rsid w:val="000D29BE"/>
    <w:rsid w:val="000D3BCB"/>
    <w:rsid w:val="000D4503"/>
    <w:rsid w:val="000E0F17"/>
    <w:rsid w:val="000E6D64"/>
    <w:rsid w:val="000E736A"/>
    <w:rsid w:val="000F14FF"/>
    <w:rsid w:val="00106A81"/>
    <w:rsid w:val="001109A9"/>
    <w:rsid w:val="001122EC"/>
    <w:rsid w:val="00114407"/>
    <w:rsid w:val="00116D03"/>
    <w:rsid w:val="00117B86"/>
    <w:rsid w:val="0012076A"/>
    <w:rsid w:val="00133DFD"/>
    <w:rsid w:val="00133F61"/>
    <w:rsid w:val="0013703B"/>
    <w:rsid w:val="00140A55"/>
    <w:rsid w:val="001421EE"/>
    <w:rsid w:val="00142C55"/>
    <w:rsid w:val="00145951"/>
    <w:rsid w:val="00150045"/>
    <w:rsid w:val="001538F1"/>
    <w:rsid w:val="00167E65"/>
    <w:rsid w:val="001744EF"/>
    <w:rsid w:val="00175825"/>
    <w:rsid w:val="00180783"/>
    <w:rsid w:val="001823B8"/>
    <w:rsid w:val="00182E06"/>
    <w:rsid w:val="0019023E"/>
    <w:rsid w:val="001914E7"/>
    <w:rsid w:val="00192A1E"/>
    <w:rsid w:val="00194F5D"/>
    <w:rsid w:val="001A1C0A"/>
    <w:rsid w:val="001A3D3B"/>
    <w:rsid w:val="001A6486"/>
    <w:rsid w:val="001C0CAA"/>
    <w:rsid w:val="001C64C9"/>
    <w:rsid w:val="001C69C2"/>
    <w:rsid w:val="001C6B38"/>
    <w:rsid w:val="001C773A"/>
    <w:rsid w:val="001D02A9"/>
    <w:rsid w:val="001D0579"/>
    <w:rsid w:val="001D2D3F"/>
    <w:rsid w:val="001D5642"/>
    <w:rsid w:val="001E0AA4"/>
    <w:rsid w:val="001E1943"/>
    <w:rsid w:val="001E20EF"/>
    <w:rsid w:val="001E21D3"/>
    <w:rsid w:val="001E3EEF"/>
    <w:rsid w:val="001E42BD"/>
    <w:rsid w:val="001F033B"/>
    <w:rsid w:val="001F1E43"/>
    <w:rsid w:val="001F3DD0"/>
    <w:rsid w:val="0020083B"/>
    <w:rsid w:val="002040FA"/>
    <w:rsid w:val="00211F05"/>
    <w:rsid w:val="00215198"/>
    <w:rsid w:val="002217FC"/>
    <w:rsid w:val="00225B71"/>
    <w:rsid w:val="00232524"/>
    <w:rsid w:val="00232566"/>
    <w:rsid w:val="00232ADD"/>
    <w:rsid w:val="002335BD"/>
    <w:rsid w:val="002339A1"/>
    <w:rsid w:val="002350DD"/>
    <w:rsid w:val="0023688D"/>
    <w:rsid w:val="00243273"/>
    <w:rsid w:val="00244724"/>
    <w:rsid w:val="002479DB"/>
    <w:rsid w:val="002535EF"/>
    <w:rsid w:val="0025535D"/>
    <w:rsid w:val="0026118A"/>
    <w:rsid w:val="00263AD5"/>
    <w:rsid w:val="002642DB"/>
    <w:rsid w:val="00264EEA"/>
    <w:rsid w:val="00265862"/>
    <w:rsid w:val="00272BE1"/>
    <w:rsid w:val="00277E7D"/>
    <w:rsid w:val="00283BD3"/>
    <w:rsid w:val="00295E7F"/>
    <w:rsid w:val="002A6282"/>
    <w:rsid w:val="002A79DE"/>
    <w:rsid w:val="002B058E"/>
    <w:rsid w:val="002B0E96"/>
    <w:rsid w:val="002B31C7"/>
    <w:rsid w:val="002B4B0C"/>
    <w:rsid w:val="002B5C2F"/>
    <w:rsid w:val="002C0D59"/>
    <w:rsid w:val="002C517A"/>
    <w:rsid w:val="002C5828"/>
    <w:rsid w:val="002C690B"/>
    <w:rsid w:val="002D3622"/>
    <w:rsid w:val="002D3A51"/>
    <w:rsid w:val="002D6A74"/>
    <w:rsid w:val="002E706A"/>
    <w:rsid w:val="002F415B"/>
    <w:rsid w:val="002F691C"/>
    <w:rsid w:val="0030229C"/>
    <w:rsid w:val="003026D4"/>
    <w:rsid w:val="003035C6"/>
    <w:rsid w:val="00314850"/>
    <w:rsid w:val="00321B27"/>
    <w:rsid w:val="00322500"/>
    <w:rsid w:val="0032383D"/>
    <w:rsid w:val="00330947"/>
    <w:rsid w:val="0033389B"/>
    <w:rsid w:val="00334008"/>
    <w:rsid w:val="003346EC"/>
    <w:rsid w:val="00343572"/>
    <w:rsid w:val="00343E5D"/>
    <w:rsid w:val="00351220"/>
    <w:rsid w:val="00353C50"/>
    <w:rsid w:val="00361C7D"/>
    <w:rsid w:val="003718E3"/>
    <w:rsid w:val="003724F1"/>
    <w:rsid w:val="00374356"/>
    <w:rsid w:val="0038113A"/>
    <w:rsid w:val="003849DD"/>
    <w:rsid w:val="00386487"/>
    <w:rsid w:val="0038655D"/>
    <w:rsid w:val="00387181"/>
    <w:rsid w:val="003923CF"/>
    <w:rsid w:val="003928BA"/>
    <w:rsid w:val="00393008"/>
    <w:rsid w:val="00394833"/>
    <w:rsid w:val="0039667D"/>
    <w:rsid w:val="00396ABE"/>
    <w:rsid w:val="003A04E3"/>
    <w:rsid w:val="003A0F55"/>
    <w:rsid w:val="003B3367"/>
    <w:rsid w:val="003C0516"/>
    <w:rsid w:val="003C178E"/>
    <w:rsid w:val="003D116D"/>
    <w:rsid w:val="003D2878"/>
    <w:rsid w:val="003D3868"/>
    <w:rsid w:val="003D5EF1"/>
    <w:rsid w:val="003D6B5E"/>
    <w:rsid w:val="003E3379"/>
    <w:rsid w:val="003E3965"/>
    <w:rsid w:val="003E628B"/>
    <w:rsid w:val="003F39DE"/>
    <w:rsid w:val="003F5520"/>
    <w:rsid w:val="003F5FF4"/>
    <w:rsid w:val="00400B47"/>
    <w:rsid w:val="004026E4"/>
    <w:rsid w:val="0040482A"/>
    <w:rsid w:val="00404F6E"/>
    <w:rsid w:val="004107E7"/>
    <w:rsid w:val="00414BA0"/>
    <w:rsid w:val="004150A0"/>
    <w:rsid w:val="00416F4E"/>
    <w:rsid w:val="0042137D"/>
    <w:rsid w:val="004224E6"/>
    <w:rsid w:val="0042666A"/>
    <w:rsid w:val="00431620"/>
    <w:rsid w:val="00432A9E"/>
    <w:rsid w:val="0043526D"/>
    <w:rsid w:val="004370C4"/>
    <w:rsid w:val="00437BF1"/>
    <w:rsid w:val="00443D9D"/>
    <w:rsid w:val="00443EC9"/>
    <w:rsid w:val="00446754"/>
    <w:rsid w:val="0044729F"/>
    <w:rsid w:val="00452715"/>
    <w:rsid w:val="00453190"/>
    <w:rsid w:val="004552A8"/>
    <w:rsid w:val="00457C08"/>
    <w:rsid w:val="004647CC"/>
    <w:rsid w:val="00475199"/>
    <w:rsid w:val="00475B9D"/>
    <w:rsid w:val="004763EC"/>
    <w:rsid w:val="00476592"/>
    <w:rsid w:val="0048432C"/>
    <w:rsid w:val="004873FD"/>
    <w:rsid w:val="00493FE4"/>
    <w:rsid w:val="004A5085"/>
    <w:rsid w:val="004A7D88"/>
    <w:rsid w:val="004B134E"/>
    <w:rsid w:val="004B395C"/>
    <w:rsid w:val="004B5509"/>
    <w:rsid w:val="004C0D17"/>
    <w:rsid w:val="004C4C29"/>
    <w:rsid w:val="004C5AAB"/>
    <w:rsid w:val="004C7839"/>
    <w:rsid w:val="004C7CA1"/>
    <w:rsid w:val="004C7D55"/>
    <w:rsid w:val="004D1A50"/>
    <w:rsid w:val="004D268E"/>
    <w:rsid w:val="004E1C77"/>
    <w:rsid w:val="004E673E"/>
    <w:rsid w:val="004F4A3B"/>
    <w:rsid w:val="004F5BE4"/>
    <w:rsid w:val="004F5C16"/>
    <w:rsid w:val="004F6F4F"/>
    <w:rsid w:val="005016FC"/>
    <w:rsid w:val="00501D55"/>
    <w:rsid w:val="00501E07"/>
    <w:rsid w:val="00502A77"/>
    <w:rsid w:val="00504603"/>
    <w:rsid w:val="005062E5"/>
    <w:rsid w:val="00507AA8"/>
    <w:rsid w:val="00515C9D"/>
    <w:rsid w:val="00524EEA"/>
    <w:rsid w:val="005254F6"/>
    <w:rsid w:val="005301E4"/>
    <w:rsid w:val="005338B9"/>
    <w:rsid w:val="00537185"/>
    <w:rsid w:val="0054227F"/>
    <w:rsid w:val="00543165"/>
    <w:rsid w:val="0054325A"/>
    <w:rsid w:val="00543A2E"/>
    <w:rsid w:val="005520DD"/>
    <w:rsid w:val="00552829"/>
    <w:rsid w:val="005575B4"/>
    <w:rsid w:val="00561A97"/>
    <w:rsid w:val="00562B1A"/>
    <w:rsid w:val="00565724"/>
    <w:rsid w:val="00566846"/>
    <w:rsid w:val="00566A47"/>
    <w:rsid w:val="00572283"/>
    <w:rsid w:val="0057311B"/>
    <w:rsid w:val="0057389F"/>
    <w:rsid w:val="0057525A"/>
    <w:rsid w:val="0057725A"/>
    <w:rsid w:val="00581D63"/>
    <w:rsid w:val="0058206F"/>
    <w:rsid w:val="00586AE2"/>
    <w:rsid w:val="00592C73"/>
    <w:rsid w:val="005A1A88"/>
    <w:rsid w:val="005A44A7"/>
    <w:rsid w:val="005A47B7"/>
    <w:rsid w:val="005A66CE"/>
    <w:rsid w:val="005B0F65"/>
    <w:rsid w:val="005B1A49"/>
    <w:rsid w:val="005B1F4C"/>
    <w:rsid w:val="005C5127"/>
    <w:rsid w:val="005D17EE"/>
    <w:rsid w:val="005D2618"/>
    <w:rsid w:val="005D6B29"/>
    <w:rsid w:val="005D7490"/>
    <w:rsid w:val="005E26F0"/>
    <w:rsid w:val="005E3525"/>
    <w:rsid w:val="005E3990"/>
    <w:rsid w:val="005E4E1E"/>
    <w:rsid w:val="005E6457"/>
    <w:rsid w:val="005F45F5"/>
    <w:rsid w:val="005F6BA9"/>
    <w:rsid w:val="006039E5"/>
    <w:rsid w:val="00614A6B"/>
    <w:rsid w:val="00621B5B"/>
    <w:rsid w:val="00623977"/>
    <w:rsid w:val="00630D10"/>
    <w:rsid w:val="0063246A"/>
    <w:rsid w:val="0064127F"/>
    <w:rsid w:val="006479E0"/>
    <w:rsid w:val="00656206"/>
    <w:rsid w:val="00656629"/>
    <w:rsid w:val="0065747A"/>
    <w:rsid w:val="00662210"/>
    <w:rsid w:val="0066302D"/>
    <w:rsid w:val="006630E5"/>
    <w:rsid w:val="00666A8E"/>
    <w:rsid w:val="0067029D"/>
    <w:rsid w:val="00677124"/>
    <w:rsid w:val="00677872"/>
    <w:rsid w:val="00681486"/>
    <w:rsid w:val="006826A2"/>
    <w:rsid w:val="00683EE6"/>
    <w:rsid w:val="00695847"/>
    <w:rsid w:val="00697649"/>
    <w:rsid w:val="006A076E"/>
    <w:rsid w:val="006A1779"/>
    <w:rsid w:val="006A660B"/>
    <w:rsid w:val="006A7C2D"/>
    <w:rsid w:val="006B300F"/>
    <w:rsid w:val="006B448A"/>
    <w:rsid w:val="006B6135"/>
    <w:rsid w:val="006C399E"/>
    <w:rsid w:val="006C542E"/>
    <w:rsid w:val="006C7CB0"/>
    <w:rsid w:val="006D0A80"/>
    <w:rsid w:val="006D1084"/>
    <w:rsid w:val="006D16ED"/>
    <w:rsid w:val="006D400D"/>
    <w:rsid w:val="006D7097"/>
    <w:rsid w:val="006E00B8"/>
    <w:rsid w:val="006E017C"/>
    <w:rsid w:val="006E466E"/>
    <w:rsid w:val="006E4DF8"/>
    <w:rsid w:val="006F4BA7"/>
    <w:rsid w:val="006F6138"/>
    <w:rsid w:val="00702563"/>
    <w:rsid w:val="007069CE"/>
    <w:rsid w:val="0071182E"/>
    <w:rsid w:val="00711BF0"/>
    <w:rsid w:val="007154D7"/>
    <w:rsid w:val="00715CB1"/>
    <w:rsid w:val="00724449"/>
    <w:rsid w:val="007247BF"/>
    <w:rsid w:val="00726C97"/>
    <w:rsid w:val="00733175"/>
    <w:rsid w:val="007406E0"/>
    <w:rsid w:val="00740F0F"/>
    <w:rsid w:val="00741839"/>
    <w:rsid w:val="007457BB"/>
    <w:rsid w:val="00747BFC"/>
    <w:rsid w:val="00750440"/>
    <w:rsid w:val="00754AEF"/>
    <w:rsid w:val="00754F97"/>
    <w:rsid w:val="007645A7"/>
    <w:rsid w:val="0076799B"/>
    <w:rsid w:val="00772D25"/>
    <w:rsid w:val="00784775"/>
    <w:rsid w:val="00791710"/>
    <w:rsid w:val="00791F0E"/>
    <w:rsid w:val="00794787"/>
    <w:rsid w:val="007A36F8"/>
    <w:rsid w:val="007A523C"/>
    <w:rsid w:val="007B18D7"/>
    <w:rsid w:val="007B1E77"/>
    <w:rsid w:val="007B332B"/>
    <w:rsid w:val="007C7F99"/>
    <w:rsid w:val="007D1316"/>
    <w:rsid w:val="007D4B2C"/>
    <w:rsid w:val="007D6A1F"/>
    <w:rsid w:val="007D705C"/>
    <w:rsid w:val="007E19D1"/>
    <w:rsid w:val="007E3D8D"/>
    <w:rsid w:val="007E4DDC"/>
    <w:rsid w:val="007E6DAC"/>
    <w:rsid w:val="007F0F1A"/>
    <w:rsid w:val="007F1A1B"/>
    <w:rsid w:val="007F24FA"/>
    <w:rsid w:val="007F2BBC"/>
    <w:rsid w:val="007F4EAE"/>
    <w:rsid w:val="007F5A75"/>
    <w:rsid w:val="007F6F5F"/>
    <w:rsid w:val="008002E9"/>
    <w:rsid w:val="00802425"/>
    <w:rsid w:val="00803AF0"/>
    <w:rsid w:val="00811D94"/>
    <w:rsid w:val="00814236"/>
    <w:rsid w:val="00823DE5"/>
    <w:rsid w:val="00824503"/>
    <w:rsid w:val="00824F57"/>
    <w:rsid w:val="00825473"/>
    <w:rsid w:val="00834BBF"/>
    <w:rsid w:val="0083684B"/>
    <w:rsid w:val="00836EA4"/>
    <w:rsid w:val="00837FB0"/>
    <w:rsid w:val="008441F8"/>
    <w:rsid w:val="00851882"/>
    <w:rsid w:val="00851DE4"/>
    <w:rsid w:val="00862585"/>
    <w:rsid w:val="00863788"/>
    <w:rsid w:val="00870190"/>
    <w:rsid w:val="008766B4"/>
    <w:rsid w:val="008851F2"/>
    <w:rsid w:val="008853CF"/>
    <w:rsid w:val="008A199D"/>
    <w:rsid w:val="008A1EE3"/>
    <w:rsid w:val="008A3A19"/>
    <w:rsid w:val="008A5110"/>
    <w:rsid w:val="008A5CED"/>
    <w:rsid w:val="008B33F6"/>
    <w:rsid w:val="008B47EE"/>
    <w:rsid w:val="008B4E97"/>
    <w:rsid w:val="008B4FF8"/>
    <w:rsid w:val="008C06FD"/>
    <w:rsid w:val="008C4A11"/>
    <w:rsid w:val="008C66FE"/>
    <w:rsid w:val="008D0CBF"/>
    <w:rsid w:val="008D0EDB"/>
    <w:rsid w:val="008D3B4B"/>
    <w:rsid w:val="008D438B"/>
    <w:rsid w:val="008D7A6F"/>
    <w:rsid w:val="008D7E3C"/>
    <w:rsid w:val="008E026E"/>
    <w:rsid w:val="008E0BCE"/>
    <w:rsid w:val="008F02BA"/>
    <w:rsid w:val="008F2594"/>
    <w:rsid w:val="008F443F"/>
    <w:rsid w:val="00900EAF"/>
    <w:rsid w:val="00902B48"/>
    <w:rsid w:val="009068A0"/>
    <w:rsid w:val="0091116B"/>
    <w:rsid w:val="00913AA0"/>
    <w:rsid w:val="009150DF"/>
    <w:rsid w:val="009152B3"/>
    <w:rsid w:val="0091625F"/>
    <w:rsid w:val="00921468"/>
    <w:rsid w:val="00927EEA"/>
    <w:rsid w:val="00934D9E"/>
    <w:rsid w:val="00937F98"/>
    <w:rsid w:val="00942107"/>
    <w:rsid w:val="00942713"/>
    <w:rsid w:val="00945A92"/>
    <w:rsid w:val="009517A9"/>
    <w:rsid w:val="0095514E"/>
    <w:rsid w:val="00957D58"/>
    <w:rsid w:val="00960296"/>
    <w:rsid w:val="0096169C"/>
    <w:rsid w:val="00961ED0"/>
    <w:rsid w:val="0096240A"/>
    <w:rsid w:val="009638D0"/>
    <w:rsid w:val="0096435B"/>
    <w:rsid w:val="00977755"/>
    <w:rsid w:val="009811DF"/>
    <w:rsid w:val="00981543"/>
    <w:rsid w:val="0098653E"/>
    <w:rsid w:val="00987A83"/>
    <w:rsid w:val="009906CA"/>
    <w:rsid w:val="00991240"/>
    <w:rsid w:val="00994E97"/>
    <w:rsid w:val="00994EBB"/>
    <w:rsid w:val="009A24F2"/>
    <w:rsid w:val="009A2515"/>
    <w:rsid w:val="009A655A"/>
    <w:rsid w:val="009B1999"/>
    <w:rsid w:val="009B2394"/>
    <w:rsid w:val="009B2CB0"/>
    <w:rsid w:val="009B4E4D"/>
    <w:rsid w:val="009B50DF"/>
    <w:rsid w:val="009B660F"/>
    <w:rsid w:val="009C2F6C"/>
    <w:rsid w:val="009C4BFB"/>
    <w:rsid w:val="009C6337"/>
    <w:rsid w:val="009C7895"/>
    <w:rsid w:val="009D0C8D"/>
    <w:rsid w:val="009D7BFE"/>
    <w:rsid w:val="009E48A5"/>
    <w:rsid w:val="009E6814"/>
    <w:rsid w:val="009F1B9A"/>
    <w:rsid w:val="009F2844"/>
    <w:rsid w:val="009F41FA"/>
    <w:rsid w:val="009F513E"/>
    <w:rsid w:val="00A24527"/>
    <w:rsid w:val="00A304A4"/>
    <w:rsid w:val="00A33057"/>
    <w:rsid w:val="00A351C0"/>
    <w:rsid w:val="00A40452"/>
    <w:rsid w:val="00A40EDB"/>
    <w:rsid w:val="00A5309C"/>
    <w:rsid w:val="00A547A3"/>
    <w:rsid w:val="00A6047F"/>
    <w:rsid w:val="00A64CB8"/>
    <w:rsid w:val="00A70DC1"/>
    <w:rsid w:val="00A71074"/>
    <w:rsid w:val="00A80BB0"/>
    <w:rsid w:val="00A81D66"/>
    <w:rsid w:val="00A81FCA"/>
    <w:rsid w:val="00A86773"/>
    <w:rsid w:val="00A901AB"/>
    <w:rsid w:val="00A93BC8"/>
    <w:rsid w:val="00A94DA6"/>
    <w:rsid w:val="00A96B54"/>
    <w:rsid w:val="00AA340D"/>
    <w:rsid w:val="00AA381B"/>
    <w:rsid w:val="00AA5A3D"/>
    <w:rsid w:val="00AB40D7"/>
    <w:rsid w:val="00AC60B9"/>
    <w:rsid w:val="00AD0370"/>
    <w:rsid w:val="00AD094E"/>
    <w:rsid w:val="00AD11B0"/>
    <w:rsid w:val="00AD1A66"/>
    <w:rsid w:val="00AD2AA7"/>
    <w:rsid w:val="00AD3827"/>
    <w:rsid w:val="00AD7D7B"/>
    <w:rsid w:val="00AE0614"/>
    <w:rsid w:val="00AE1BFF"/>
    <w:rsid w:val="00AE4A28"/>
    <w:rsid w:val="00AE5962"/>
    <w:rsid w:val="00AF5591"/>
    <w:rsid w:val="00AF56A1"/>
    <w:rsid w:val="00AF5EC0"/>
    <w:rsid w:val="00B03827"/>
    <w:rsid w:val="00B0450C"/>
    <w:rsid w:val="00B060CD"/>
    <w:rsid w:val="00B069F0"/>
    <w:rsid w:val="00B109C3"/>
    <w:rsid w:val="00B1538A"/>
    <w:rsid w:val="00B406F7"/>
    <w:rsid w:val="00B46E4B"/>
    <w:rsid w:val="00B5455A"/>
    <w:rsid w:val="00B60EA6"/>
    <w:rsid w:val="00B6718B"/>
    <w:rsid w:val="00B71019"/>
    <w:rsid w:val="00B714C0"/>
    <w:rsid w:val="00B76181"/>
    <w:rsid w:val="00B765B7"/>
    <w:rsid w:val="00B8073A"/>
    <w:rsid w:val="00B83523"/>
    <w:rsid w:val="00B91DE9"/>
    <w:rsid w:val="00B9400E"/>
    <w:rsid w:val="00BA0496"/>
    <w:rsid w:val="00BA59D4"/>
    <w:rsid w:val="00BB6094"/>
    <w:rsid w:val="00BC0598"/>
    <w:rsid w:val="00BC1B2C"/>
    <w:rsid w:val="00BC52B8"/>
    <w:rsid w:val="00BC62EF"/>
    <w:rsid w:val="00BC7ACD"/>
    <w:rsid w:val="00BD1464"/>
    <w:rsid w:val="00BD28EA"/>
    <w:rsid w:val="00BD458F"/>
    <w:rsid w:val="00BD731F"/>
    <w:rsid w:val="00BE086A"/>
    <w:rsid w:val="00BE671D"/>
    <w:rsid w:val="00BF37A9"/>
    <w:rsid w:val="00BF4881"/>
    <w:rsid w:val="00C12630"/>
    <w:rsid w:val="00C16F30"/>
    <w:rsid w:val="00C17CA3"/>
    <w:rsid w:val="00C222B8"/>
    <w:rsid w:val="00C23587"/>
    <w:rsid w:val="00C24962"/>
    <w:rsid w:val="00C302D9"/>
    <w:rsid w:val="00C326C8"/>
    <w:rsid w:val="00C33E68"/>
    <w:rsid w:val="00C34225"/>
    <w:rsid w:val="00C35AB3"/>
    <w:rsid w:val="00C410E1"/>
    <w:rsid w:val="00C42A45"/>
    <w:rsid w:val="00C6141B"/>
    <w:rsid w:val="00C61CC2"/>
    <w:rsid w:val="00C6662D"/>
    <w:rsid w:val="00C7109D"/>
    <w:rsid w:val="00C71612"/>
    <w:rsid w:val="00C77772"/>
    <w:rsid w:val="00C84070"/>
    <w:rsid w:val="00C84287"/>
    <w:rsid w:val="00C87FB3"/>
    <w:rsid w:val="00C907D8"/>
    <w:rsid w:val="00C92EE1"/>
    <w:rsid w:val="00C9395C"/>
    <w:rsid w:val="00C97882"/>
    <w:rsid w:val="00CA57C4"/>
    <w:rsid w:val="00CA75F0"/>
    <w:rsid w:val="00CA7A94"/>
    <w:rsid w:val="00CB1FC7"/>
    <w:rsid w:val="00CB5103"/>
    <w:rsid w:val="00CC313C"/>
    <w:rsid w:val="00CC6B1C"/>
    <w:rsid w:val="00CC6EA9"/>
    <w:rsid w:val="00CC7951"/>
    <w:rsid w:val="00CD21AB"/>
    <w:rsid w:val="00CD7C11"/>
    <w:rsid w:val="00CE2777"/>
    <w:rsid w:val="00CF5AA0"/>
    <w:rsid w:val="00D00F9A"/>
    <w:rsid w:val="00D03636"/>
    <w:rsid w:val="00D067DD"/>
    <w:rsid w:val="00D06EE6"/>
    <w:rsid w:val="00D073E2"/>
    <w:rsid w:val="00D106EF"/>
    <w:rsid w:val="00D11CA5"/>
    <w:rsid w:val="00D14368"/>
    <w:rsid w:val="00D16EE9"/>
    <w:rsid w:val="00D268B4"/>
    <w:rsid w:val="00D37246"/>
    <w:rsid w:val="00D3782D"/>
    <w:rsid w:val="00D426DF"/>
    <w:rsid w:val="00D42EEE"/>
    <w:rsid w:val="00D45952"/>
    <w:rsid w:val="00D509CD"/>
    <w:rsid w:val="00D54EA2"/>
    <w:rsid w:val="00D563BF"/>
    <w:rsid w:val="00D6128C"/>
    <w:rsid w:val="00D61E29"/>
    <w:rsid w:val="00D622AB"/>
    <w:rsid w:val="00D62B54"/>
    <w:rsid w:val="00D6373E"/>
    <w:rsid w:val="00D63B85"/>
    <w:rsid w:val="00D64F5C"/>
    <w:rsid w:val="00D843AF"/>
    <w:rsid w:val="00D85740"/>
    <w:rsid w:val="00D86091"/>
    <w:rsid w:val="00D915AA"/>
    <w:rsid w:val="00D916AA"/>
    <w:rsid w:val="00D93932"/>
    <w:rsid w:val="00D951F3"/>
    <w:rsid w:val="00DA0C49"/>
    <w:rsid w:val="00DA3A34"/>
    <w:rsid w:val="00DA55D3"/>
    <w:rsid w:val="00DB0B6E"/>
    <w:rsid w:val="00DB2795"/>
    <w:rsid w:val="00DB3F53"/>
    <w:rsid w:val="00DB764F"/>
    <w:rsid w:val="00DC1EC5"/>
    <w:rsid w:val="00DC27F1"/>
    <w:rsid w:val="00DC565E"/>
    <w:rsid w:val="00DC75E0"/>
    <w:rsid w:val="00DD51F6"/>
    <w:rsid w:val="00DD58D8"/>
    <w:rsid w:val="00DE0C3B"/>
    <w:rsid w:val="00DE54EF"/>
    <w:rsid w:val="00DF0057"/>
    <w:rsid w:val="00DF0060"/>
    <w:rsid w:val="00DF0D66"/>
    <w:rsid w:val="00DF2ED0"/>
    <w:rsid w:val="00DF45EE"/>
    <w:rsid w:val="00DF4E43"/>
    <w:rsid w:val="00DF6CF5"/>
    <w:rsid w:val="00E01309"/>
    <w:rsid w:val="00E044D4"/>
    <w:rsid w:val="00E04AA6"/>
    <w:rsid w:val="00E0509B"/>
    <w:rsid w:val="00E10A04"/>
    <w:rsid w:val="00E14AB4"/>
    <w:rsid w:val="00E14E20"/>
    <w:rsid w:val="00E16F64"/>
    <w:rsid w:val="00E20FD4"/>
    <w:rsid w:val="00E21769"/>
    <w:rsid w:val="00E25245"/>
    <w:rsid w:val="00E25DA2"/>
    <w:rsid w:val="00E271D3"/>
    <w:rsid w:val="00E30F0C"/>
    <w:rsid w:val="00E31724"/>
    <w:rsid w:val="00E335D7"/>
    <w:rsid w:val="00E33FE8"/>
    <w:rsid w:val="00E420D9"/>
    <w:rsid w:val="00E42792"/>
    <w:rsid w:val="00E42B08"/>
    <w:rsid w:val="00E4443E"/>
    <w:rsid w:val="00E5162B"/>
    <w:rsid w:val="00E5357B"/>
    <w:rsid w:val="00E556DF"/>
    <w:rsid w:val="00E57D93"/>
    <w:rsid w:val="00E60DAF"/>
    <w:rsid w:val="00E630A2"/>
    <w:rsid w:val="00E71F8B"/>
    <w:rsid w:val="00E72043"/>
    <w:rsid w:val="00E72C12"/>
    <w:rsid w:val="00E8019A"/>
    <w:rsid w:val="00E81D44"/>
    <w:rsid w:val="00E82BB7"/>
    <w:rsid w:val="00E83266"/>
    <w:rsid w:val="00E838DB"/>
    <w:rsid w:val="00E900B5"/>
    <w:rsid w:val="00EB3EA6"/>
    <w:rsid w:val="00EB4B1E"/>
    <w:rsid w:val="00EB5702"/>
    <w:rsid w:val="00EB62ED"/>
    <w:rsid w:val="00EC46D6"/>
    <w:rsid w:val="00EC6FBB"/>
    <w:rsid w:val="00ED329A"/>
    <w:rsid w:val="00ED5647"/>
    <w:rsid w:val="00EE4F91"/>
    <w:rsid w:val="00EF0177"/>
    <w:rsid w:val="00EF26F8"/>
    <w:rsid w:val="00EF3495"/>
    <w:rsid w:val="00F00884"/>
    <w:rsid w:val="00F00E72"/>
    <w:rsid w:val="00F0404F"/>
    <w:rsid w:val="00F066DD"/>
    <w:rsid w:val="00F079D0"/>
    <w:rsid w:val="00F113E8"/>
    <w:rsid w:val="00F1371F"/>
    <w:rsid w:val="00F2076D"/>
    <w:rsid w:val="00F20D38"/>
    <w:rsid w:val="00F24900"/>
    <w:rsid w:val="00F270F4"/>
    <w:rsid w:val="00F3418E"/>
    <w:rsid w:val="00F369B0"/>
    <w:rsid w:val="00F377A3"/>
    <w:rsid w:val="00F45016"/>
    <w:rsid w:val="00F51289"/>
    <w:rsid w:val="00F51556"/>
    <w:rsid w:val="00F57FD9"/>
    <w:rsid w:val="00F6554B"/>
    <w:rsid w:val="00F6559C"/>
    <w:rsid w:val="00F76E79"/>
    <w:rsid w:val="00F832E2"/>
    <w:rsid w:val="00F85A30"/>
    <w:rsid w:val="00F91704"/>
    <w:rsid w:val="00F92374"/>
    <w:rsid w:val="00FB1712"/>
    <w:rsid w:val="00FB4D89"/>
    <w:rsid w:val="00FB54FD"/>
    <w:rsid w:val="00FB6B78"/>
    <w:rsid w:val="00FC0728"/>
    <w:rsid w:val="00FC099F"/>
    <w:rsid w:val="00FC09BD"/>
    <w:rsid w:val="00FC2638"/>
    <w:rsid w:val="00FC3614"/>
    <w:rsid w:val="00FC39E7"/>
    <w:rsid w:val="00FC4A7D"/>
    <w:rsid w:val="00FC5FDD"/>
    <w:rsid w:val="00FC6DFD"/>
    <w:rsid w:val="00FC71CD"/>
    <w:rsid w:val="00FD02C3"/>
    <w:rsid w:val="00FD1D0F"/>
    <w:rsid w:val="00FD2231"/>
    <w:rsid w:val="00FD37CD"/>
    <w:rsid w:val="00FD44D6"/>
    <w:rsid w:val="00FE1E15"/>
    <w:rsid w:val="00FE2B82"/>
    <w:rsid w:val="00FE356B"/>
    <w:rsid w:val="00FE4E0E"/>
    <w:rsid w:val="00FF061B"/>
    <w:rsid w:val="00FF133F"/>
    <w:rsid w:val="00FF1C80"/>
    <w:rsid w:val="00FF2353"/>
    <w:rsid w:val="00FF5C21"/>
  </w:rsids>
  <w:themeFontLang w:eastAsia="ja-JP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fr-FR" w:val="f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qFormat="1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7D55"/>
    <w:pPr>
      <w:spacing w:after="120" w:before="120"/>
      <w:jc w:val="both"/>
    </w:pPr>
    <w:rPr>
      <w:rFonts w:ascii="Arial" w:hAnsi="Arial"/>
    </w:rPr>
  </w:style>
  <w:style w:styleId="Titre1" w:type="paragraph">
    <w:name w:val="heading 1"/>
    <w:basedOn w:val="Normal"/>
    <w:next w:val="Normal"/>
    <w:link w:val="Titre1Car"/>
    <w:uiPriority w:val="9"/>
    <w:qFormat/>
    <w:rsid w:val="00E82BB7"/>
    <w:pPr>
      <w:keepNext/>
      <w:keepLines/>
      <w:numPr>
        <w:ilvl w:val="1"/>
        <w:numId w:val="4"/>
      </w:numPr>
      <w:spacing w:after="320" w:before="480"/>
      <w:jc w:val="left"/>
      <w:outlineLvl w:val="0"/>
    </w:pPr>
    <w:rPr>
      <w:rFonts w:cstheme="majorBidi" w:eastAsiaTheme="majorEastAsia"/>
      <w:b/>
      <w:bCs/>
      <w:color w:val="1B4377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qFormat/>
    <w:rsid w:val="00272BE1"/>
    <w:pPr>
      <w:keepNext/>
      <w:keepLines/>
      <w:numPr>
        <w:ilvl w:val="2"/>
        <w:numId w:val="4"/>
      </w:numPr>
      <w:spacing w:after="240" w:before="240"/>
      <w:jc w:val="left"/>
      <w:outlineLvl w:val="1"/>
    </w:pPr>
    <w:rPr>
      <w:rFonts w:cstheme="majorBidi" w:eastAsiaTheme="majorEastAsia"/>
      <w:b/>
      <w:color w:val="1B4377"/>
      <w:sz w:val="28"/>
      <w:szCs w:val="26"/>
    </w:rPr>
  </w:style>
  <w:style w:styleId="Titre3" w:type="paragraph">
    <w:name w:val="heading 3"/>
    <w:basedOn w:val="Normal"/>
    <w:next w:val="Normal"/>
    <w:link w:val="Titre3Car"/>
    <w:uiPriority w:val="9"/>
    <w:qFormat/>
    <w:rsid w:val="00272BE1"/>
    <w:pPr>
      <w:keepNext/>
      <w:keepLines/>
      <w:numPr>
        <w:ilvl w:val="3"/>
        <w:numId w:val="4"/>
      </w:numPr>
      <w:spacing w:after="0" w:before="200"/>
      <w:jc w:val="left"/>
      <w:outlineLvl w:val="2"/>
    </w:pPr>
    <w:rPr>
      <w:rFonts w:cstheme="majorBidi" w:eastAsiaTheme="majorEastAsia"/>
      <w:b/>
      <w:bCs/>
      <w:color w:val="1B4377"/>
      <w:sz w:val="26"/>
    </w:rPr>
  </w:style>
  <w:style w:styleId="Titre4" w:type="paragraph">
    <w:name w:val="heading 4"/>
    <w:basedOn w:val="Normal"/>
    <w:next w:val="Normal"/>
    <w:link w:val="Titre4Car"/>
    <w:uiPriority w:val="9"/>
    <w:qFormat/>
    <w:rsid w:val="00272BE1"/>
    <w:pPr>
      <w:keepNext/>
      <w:keepLines/>
      <w:numPr>
        <w:ilvl w:val="4"/>
        <w:numId w:val="4"/>
      </w:numPr>
      <w:spacing w:after="0" w:before="200"/>
      <w:jc w:val="left"/>
      <w:outlineLvl w:val="3"/>
    </w:pPr>
    <w:rPr>
      <w:rFonts w:asciiTheme="majorHAnsi" w:cstheme="majorBidi" w:eastAsiaTheme="majorEastAsia" w:hAnsiTheme="majorHAnsi"/>
      <w:b/>
      <w:bCs/>
      <w:i/>
      <w:iCs/>
      <w:color w:val="1B4377"/>
    </w:rPr>
  </w:style>
  <w:style w:styleId="Titre5" w:type="paragraph">
    <w:name w:val="heading 5"/>
    <w:basedOn w:val="Normal"/>
    <w:next w:val="Normal"/>
    <w:link w:val="Titre5Car"/>
    <w:uiPriority w:val="9"/>
    <w:qFormat/>
    <w:rsid w:val="00272BE1"/>
    <w:pPr>
      <w:keepNext/>
      <w:keepLines/>
      <w:numPr>
        <w:ilvl w:val="5"/>
        <w:numId w:val="4"/>
      </w:numPr>
      <w:spacing w:after="0" w:before="200"/>
      <w:outlineLvl w:val="4"/>
    </w:pPr>
    <w:rPr>
      <w:rFonts w:asciiTheme="majorHAnsi" w:cstheme="majorBidi" w:eastAsiaTheme="majorEastAsia" w:hAnsiTheme="majorHAnsi"/>
      <w:color w:val="1B4377"/>
    </w:rPr>
  </w:style>
  <w:style w:styleId="Titre6" w:type="paragraph">
    <w:name w:val="heading 6"/>
    <w:basedOn w:val="Normal"/>
    <w:next w:val="Normal"/>
    <w:link w:val="Titre6Car"/>
    <w:uiPriority w:val="9"/>
    <w:qFormat/>
    <w:rsid w:val="00272BE1"/>
    <w:pPr>
      <w:keepNext/>
      <w:keepLines/>
      <w:numPr>
        <w:ilvl w:val="6"/>
        <w:numId w:val="4"/>
      </w:numPr>
      <w:spacing w:after="0" w:before="200"/>
      <w:outlineLvl w:val="5"/>
    </w:pPr>
    <w:rPr>
      <w:rFonts w:asciiTheme="majorHAnsi" w:cstheme="majorBidi" w:eastAsiaTheme="majorEastAsia" w:hAnsiTheme="majorHAnsi"/>
      <w:i/>
      <w:iCs/>
      <w:color w:val="1B4377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283BD3"/>
    <w:pPr>
      <w:keepNext/>
      <w:keepLines/>
      <w:numPr>
        <w:ilvl w:val="7"/>
        <w:numId w:val="4"/>
      </w:numPr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283BD3"/>
    <w:pPr>
      <w:keepNext/>
      <w:keepLines/>
      <w:numPr>
        <w:ilvl w:val="8"/>
        <w:numId w:val="4"/>
      </w:numPr>
      <w:tabs>
        <w:tab w:pos="360" w:val="num"/>
      </w:tabs>
      <w:spacing w:after="0" w:before="200"/>
      <w:ind w:firstLine="0" w:left="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283BD3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E82BB7"/>
    <w:rPr>
      <w:rFonts w:ascii="Arial" w:cstheme="majorBidi" w:eastAsiaTheme="majorEastAsia" w:hAnsi="Arial"/>
      <w:b/>
      <w:bCs/>
      <w:color w:val="1B4377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272BE1"/>
    <w:rPr>
      <w:rFonts w:ascii="Arial" w:cstheme="majorBidi" w:eastAsiaTheme="majorEastAsia" w:hAnsi="Arial"/>
      <w:b/>
      <w:color w:val="1B4377"/>
      <w:sz w:val="28"/>
      <w:szCs w:val="26"/>
    </w:rPr>
  </w:style>
  <w:style w:customStyle="1" w:styleId="Titre3Car" w:type="character">
    <w:name w:val="Titre 3 Car"/>
    <w:basedOn w:val="Policepardfaut"/>
    <w:link w:val="Titre3"/>
    <w:uiPriority w:val="9"/>
    <w:rsid w:val="00272BE1"/>
    <w:rPr>
      <w:rFonts w:ascii="Arial" w:cstheme="majorBidi" w:eastAsiaTheme="majorEastAsia" w:hAnsi="Arial"/>
      <w:b/>
      <w:bCs/>
      <w:color w:val="1B4377"/>
      <w:sz w:val="26"/>
    </w:rPr>
  </w:style>
  <w:style w:customStyle="1" w:styleId="Titre4Car" w:type="character">
    <w:name w:val="Titre 4 Car"/>
    <w:basedOn w:val="Policepardfaut"/>
    <w:link w:val="Titre4"/>
    <w:uiPriority w:val="9"/>
    <w:rsid w:val="00272BE1"/>
    <w:rPr>
      <w:rFonts w:asciiTheme="majorHAnsi" w:cstheme="majorBidi" w:eastAsiaTheme="majorEastAsia" w:hAnsiTheme="majorHAnsi"/>
      <w:b/>
      <w:bCs/>
      <w:i/>
      <w:iCs/>
      <w:color w:val="1B4377"/>
    </w:rPr>
  </w:style>
  <w:style w:customStyle="1" w:styleId="Titre5Car" w:type="character">
    <w:name w:val="Titre 5 Car"/>
    <w:basedOn w:val="Policepardfaut"/>
    <w:link w:val="Titre5"/>
    <w:uiPriority w:val="9"/>
    <w:rsid w:val="00272BE1"/>
    <w:rPr>
      <w:rFonts w:asciiTheme="majorHAnsi" w:cstheme="majorBidi" w:eastAsiaTheme="majorEastAsia" w:hAnsiTheme="majorHAnsi"/>
      <w:color w:val="1B4377"/>
    </w:rPr>
  </w:style>
  <w:style w:customStyle="1" w:styleId="Titre6Car" w:type="character">
    <w:name w:val="Titre 6 Car"/>
    <w:basedOn w:val="Policepardfaut"/>
    <w:link w:val="Titre6"/>
    <w:uiPriority w:val="9"/>
    <w:rsid w:val="00272BE1"/>
    <w:rPr>
      <w:rFonts w:asciiTheme="majorHAnsi" w:cstheme="majorBidi" w:eastAsiaTheme="majorEastAsia" w:hAnsiTheme="majorHAnsi"/>
      <w:i/>
      <w:iCs/>
      <w:color w:val="1B4377"/>
    </w:rPr>
  </w:style>
  <w:style w:customStyle="1" w:styleId="Titre7Car" w:type="character">
    <w:name w:val="Titre 7 Car"/>
    <w:basedOn w:val="Policepardfaut"/>
    <w:link w:val="Titre7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Titre8Car" w:type="character">
    <w:name w:val="Titre 8 Car"/>
    <w:basedOn w:val="Policepardfaut"/>
    <w:link w:val="Titre8"/>
    <w:uiPriority w:val="9"/>
    <w:semiHidden/>
    <w:rsid w:val="00283BD3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Titre9Car" w:type="character">
    <w:name w:val="Titre 9 Car"/>
    <w:basedOn w:val="Policepardfaut"/>
    <w:link w:val="Titre9"/>
    <w:uiPriority w:val="9"/>
    <w:semiHidden/>
    <w:rsid w:val="00283BD3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extedebulles" w:type="paragraph">
    <w:name w:val="Balloon Text"/>
    <w:basedOn w:val="Normal"/>
    <w:link w:val="TextedebullesCar"/>
    <w:uiPriority w:val="99"/>
    <w:semiHidden/>
    <w:unhideWhenUsed/>
    <w:rsid w:val="006A076E"/>
    <w:pPr>
      <w:spacing w:after="0"/>
    </w:pPr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6A076E"/>
    <w:rPr>
      <w:rFonts w:ascii="Tahoma" w:cs="Tahoma" w:hAnsi="Tahoma"/>
      <w:sz w:val="16"/>
      <w:szCs w:val="16"/>
    </w:rPr>
  </w:style>
  <w:style w:styleId="Grilledutableau" w:type="table">
    <w:name w:val="Table Grid"/>
    <w:basedOn w:val="TableauNormal"/>
    <w:rsid w:val="000B07BF"/>
    <w:rPr>
      <w:rFonts w:ascii="Arial" w:hAnsi="Arial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extedelespacerserv" w:type="character">
    <w:name w:val="Placeholder Text"/>
    <w:basedOn w:val="Policepardfaut"/>
    <w:uiPriority w:val="99"/>
    <w:semiHidden/>
    <w:rsid w:val="00FC6DFD"/>
    <w:rPr>
      <w:color w:val="808080"/>
    </w:rPr>
  </w:style>
  <w:style w:styleId="Paragraphedeliste" w:type="paragraph">
    <w:name w:val="List Paragraph"/>
    <w:basedOn w:val="Normal"/>
    <w:uiPriority w:val="34"/>
    <w:qFormat/>
    <w:rsid w:val="00C6662D"/>
    <w:pPr>
      <w:ind w:left="720"/>
      <w:contextualSpacing/>
    </w:pPr>
  </w:style>
  <w:style w:styleId="Titre" w:type="paragraph">
    <w:name w:val="Title"/>
    <w:basedOn w:val="Normal"/>
    <w:next w:val="Normal"/>
    <w:link w:val="TitreCar"/>
    <w:qFormat/>
    <w:rsid w:val="00C17CA3"/>
    <w:pPr>
      <w:pageBreakBefore/>
      <w:numPr>
        <w:numId w:val="4"/>
      </w:numPr>
      <w:spacing w:after="600" w:before="0"/>
      <w:contextualSpacing/>
      <w:jc w:val="center"/>
      <w:outlineLvl w:val="0"/>
    </w:pPr>
    <w:rPr>
      <w:rFonts w:cstheme="majorBidi" w:eastAsiaTheme="majorEastAsia"/>
      <w:b/>
      <w:color w:val="1B4377"/>
      <w:spacing w:val="5"/>
      <w:kern w:val="28"/>
      <w:sz w:val="48"/>
      <w:szCs w:val="52"/>
    </w:rPr>
  </w:style>
  <w:style w:customStyle="1" w:styleId="TitreCar" w:type="character">
    <w:name w:val="Titre Car"/>
    <w:basedOn w:val="Policepardfaut"/>
    <w:link w:val="Titre"/>
    <w:rsid w:val="00C17CA3"/>
    <w:rPr>
      <w:rFonts w:ascii="Arial" w:cstheme="majorBidi" w:eastAsiaTheme="majorEastAsia" w:hAnsi="Arial"/>
      <w:b/>
      <w:color w:val="1B4377"/>
      <w:spacing w:val="5"/>
      <w:kern w:val="28"/>
      <w:sz w:val="48"/>
      <w:szCs w:val="52"/>
    </w:rPr>
  </w:style>
  <w:style w:styleId="TM2" w:type="paragraph">
    <w:name w:val="toc 2"/>
    <w:basedOn w:val="Normal"/>
    <w:next w:val="Normal"/>
    <w:autoRedefine/>
    <w:uiPriority w:val="39"/>
    <w:unhideWhenUsed/>
    <w:rsid w:val="00283BD3"/>
    <w:pPr>
      <w:spacing w:after="100"/>
      <w:ind w:left="240"/>
    </w:pPr>
  </w:style>
  <w:style w:styleId="TM1" w:type="paragraph">
    <w:name w:val="toc 1"/>
    <w:basedOn w:val="Normal"/>
    <w:next w:val="Normal"/>
    <w:autoRedefine/>
    <w:uiPriority w:val="39"/>
    <w:unhideWhenUsed/>
    <w:rsid w:val="00283BD3"/>
    <w:pPr>
      <w:spacing w:after="100"/>
    </w:pPr>
  </w:style>
  <w:style w:styleId="TM3" w:type="paragraph">
    <w:name w:val="toc 3"/>
    <w:basedOn w:val="Normal"/>
    <w:next w:val="Normal"/>
    <w:autoRedefine/>
    <w:uiPriority w:val="39"/>
    <w:unhideWhenUsed/>
    <w:rsid w:val="00283BD3"/>
    <w:pPr>
      <w:spacing w:after="100"/>
      <w:ind w:left="480"/>
    </w:pPr>
  </w:style>
  <w:style w:styleId="Lienhypertexte" w:type="character">
    <w:name w:val="Hyperlink"/>
    <w:basedOn w:val="Policepardfaut"/>
    <w:uiPriority w:val="99"/>
    <w:unhideWhenUsed/>
    <w:rsid w:val="00283BD3"/>
    <w:rPr>
      <w:color w:themeColor="hyperlink" w:val="0000FF"/>
      <w:u w:val="single"/>
    </w:rPr>
  </w:style>
  <w:style w:styleId="En-tte" w:type="paragraph">
    <w:name w:val="header"/>
    <w:basedOn w:val="Normal"/>
    <w:link w:val="En-tt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En-tteCar" w:type="character">
    <w:name w:val="En-tête Car"/>
    <w:basedOn w:val="Policepardfaut"/>
    <w:link w:val="En-tte"/>
    <w:uiPriority w:val="99"/>
    <w:rsid w:val="00283BD3"/>
    <w:rPr>
      <w:rFonts w:ascii="Times New Roman" w:hAnsi="Times New Roman"/>
    </w:rPr>
  </w:style>
  <w:style w:styleId="Pieddepage" w:type="paragraph">
    <w:name w:val="footer"/>
    <w:basedOn w:val="Normal"/>
    <w:link w:val="PieddepageCar"/>
    <w:uiPriority w:val="99"/>
    <w:unhideWhenUsed/>
    <w:rsid w:val="00283BD3"/>
    <w:pPr>
      <w:tabs>
        <w:tab w:pos="4536" w:val="center"/>
        <w:tab w:pos="9072" w:val="right"/>
      </w:tabs>
      <w:spacing w:after="0" w:before="0"/>
    </w:pPr>
  </w:style>
  <w:style w:customStyle="1" w:styleId="PieddepageCar" w:type="character">
    <w:name w:val="Pied de page Car"/>
    <w:basedOn w:val="Policepardfaut"/>
    <w:link w:val="Pieddepage"/>
    <w:uiPriority w:val="99"/>
    <w:rsid w:val="00283BD3"/>
    <w:rPr>
      <w:rFonts w:ascii="Times New Roman" w:hAnsi="Times New Roman"/>
    </w:rPr>
  </w:style>
  <w:style w:customStyle="1" w:styleId="gras" w:type="character">
    <w:name w:val="gras"/>
    <w:basedOn w:val="Policepardfaut"/>
    <w:uiPriority w:val="1"/>
    <w:qFormat/>
    <w:rsid w:val="00C17CA3"/>
    <w:rPr>
      <w:b/>
      <w:color w:val="1B4377"/>
    </w:rPr>
  </w:style>
  <w:style w:styleId="Listeclaire-Accent2" w:type="table">
    <w:name w:val="Light List Accent 2"/>
    <w:basedOn w:val="TableauNormal"/>
    <w:uiPriority w:val="61"/>
    <w:rsid w:val="00CC7951"/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Bibliographie" w:type="paragraph">
    <w:name w:val="Bibliography"/>
    <w:basedOn w:val="Normal"/>
    <w:next w:val="Normal"/>
    <w:uiPriority w:val="37"/>
    <w:unhideWhenUsed/>
    <w:rsid w:val="00387181"/>
    <w:pPr>
      <w:tabs>
        <w:tab w:pos="709" w:val="left"/>
      </w:tabs>
      <w:spacing w:after="0"/>
      <w:ind w:hanging="709" w:left="709"/>
    </w:pPr>
  </w:style>
  <w:style w:customStyle="1" w:styleId="noticetemporaire" w:type="paragraph">
    <w:name w:val="notice_temporaire"/>
    <w:basedOn w:val="Normal"/>
    <w:qFormat/>
    <w:rsid w:val="00FF2353"/>
    <w:rPr>
      <w:i/>
      <w:color w:val="000099"/>
    </w:rPr>
  </w:style>
  <w:style w:customStyle="1" w:styleId="aareferencebiblio" w:type="paragraph">
    <w:name w:val="aa_reference_biblio"/>
    <w:basedOn w:val="Paragraphedeliste"/>
    <w:rsid w:val="0083684B"/>
    <w:pPr>
      <w:numPr>
        <w:numId w:val="1"/>
      </w:numPr>
      <w:tabs>
        <w:tab w:pos="9072" w:val="right"/>
      </w:tabs>
      <w:spacing w:after="160"/>
      <w:contextualSpacing w:val="0"/>
      <w:jc w:val="left"/>
    </w:pPr>
    <w:rPr>
      <w:sz w:val="20"/>
      <w:szCs w:val="20"/>
      <w:lang w:val="en-US"/>
    </w:rPr>
  </w:style>
  <w:style w:customStyle="1" w:styleId="renvoi" w:type="character">
    <w:name w:val="renvoi"/>
    <w:basedOn w:val="Policepardfaut"/>
    <w:uiPriority w:val="1"/>
    <w:qFormat/>
    <w:rsid w:val="00E82BB7"/>
    <w:rPr>
      <w:color w:val="1B4377"/>
      <w:u w:val="single"/>
    </w:rPr>
  </w:style>
  <w:style w:styleId="Lgende" w:type="paragraph">
    <w:name w:val="caption"/>
    <w:basedOn w:val="Normal"/>
    <w:next w:val="Normal"/>
    <w:qFormat/>
    <w:rsid w:val="00E82BB7"/>
    <w:pPr>
      <w:spacing w:after="200" w:before="200"/>
      <w:jc w:val="center"/>
    </w:pPr>
    <w:rPr>
      <w:b/>
      <w:i/>
      <w:iCs/>
      <w:color w:val="1B4377"/>
      <w:sz w:val="18"/>
      <w:szCs w:val="18"/>
    </w:rPr>
  </w:style>
  <w:style w:styleId="Notedebasdepage" w:type="paragraph">
    <w:name w:val="footnote text"/>
    <w:basedOn w:val="Normal"/>
    <w:link w:val="NotedebasdepageCar"/>
    <w:semiHidden/>
    <w:unhideWhenUsed/>
    <w:rsid w:val="00F20D38"/>
    <w:pPr>
      <w:spacing w:after="0" w:before="0"/>
      <w:jc w:val="left"/>
    </w:pPr>
    <w:rPr>
      <w:sz w:val="20"/>
      <w:szCs w:val="20"/>
    </w:rPr>
  </w:style>
  <w:style w:customStyle="1" w:styleId="NotedebasdepageCar" w:type="character">
    <w:name w:val="Note de bas de page Car"/>
    <w:basedOn w:val="Policepardfaut"/>
    <w:link w:val="Notedebasdepage"/>
    <w:semiHidden/>
    <w:rsid w:val="00F20D38"/>
    <w:rPr>
      <w:rFonts w:ascii="Arial" w:hAnsi="Arial"/>
      <w:sz w:val="20"/>
      <w:szCs w:val="20"/>
    </w:rPr>
  </w:style>
  <w:style w:styleId="Appelnotedebasdep" w:type="character">
    <w:name w:val="footnote reference"/>
    <w:basedOn w:val="Policepardfaut"/>
    <w:semiHidden/>
    <w:unhideWhenUsed/>
    <w:rsid w:val="009068A0"/>
    <w:rPr>
      <w:vertAlign w:val="superscript"/>
    </w:rPr>
  </w:style>
  <w:style w:customStyle="1" w:styleId="aareferencebiblioul" w:type="paragraph">
    <w:name w:val="aa_reference_biblio_ul"/>
    <w:basedOn w:val="aareferencebiblio"/>
    <w:rsid w:val="007A36F8"/>
    <w:pPr>
      <w:numPr>
        <w:numId w:val="2"/>
      </w:numPr>
    </w:pPr>
    <w:rPr>
      <w:lang w:val="fr-FR"/>
    </w:rPr>
  </w:style>
  <w:style w:customStyle="1" w:styleId="figureimage" w:type="paragraph">
    <w:name w:val="figure_image"/>
    <w:basedOn w:val="Normal"/>
    <w:qFormat/>
    <w:rsid w:val="009B4E4D"/>
    <w:pPr>
      <w:spacing w:before="360"/>
      <w:jc w:val="center"/>
    </w:pPr>
    <w:rPr>
      <w:noProof/>
    </w:rPr>
  </w:style>
  <w:style w:customStyle="1" w:styleId="figure" w:type="paragraph">
    <w:name w:val="figure"/>
    <w:basedOn w:val="Normal"/>
    <w:rsid w:val="0038113A"/>
    <w:pPr>
      <w:spacing w:before="240"/>
      <w:ind w:hanging="851" w:left="851"/>
      <w:jc w:val="center"/>
    </w:pPr>
    <w:rPr>
      <w:rFonts w:cs="Arial" w:eastAsia="Times New Roman"/>
    </w:rPr>
  </w:style>
  <w:style w:styleId="Marquedecommentaire" w:type="character">
    <w:name w:val="annotation reference"/>
    <w:basedOn w:val="Policepardfaut"/>
    <w:uiPriority w:val="99"/>
    <w:semiHidden/>
    <w:unhideWhenUsed/>
    <w:rsid w:val="00F832E2"/>
    <w:rPr>
      <w:sz w:val="16"/>
      <w:szCs w:val="16"/>
    </w:rPr>
  </w:style>
  <w:style w:styleId="Commentaire" w:type="paragraph">
    <w:name w:val="annotation text"/>
    <w:basedOn w:val="Normal"/>
    <w:link w:val="CommentaireCar"/>
    <w:uiPriority w:val="99"/>
    <w:semiHidden/>
    <w:unhideWhenUsed/>
    <w:rsid w:val="00F832E2"/>
    <w:rPr>
      <w:sz w:val="20"/>
      <w:szCs w:val="20"/>
    </w:rPr>
  </w:style>
  <w:style w:customStyle="1" w:styleId="CommentaireCar" w:type="character">
    <w:name w:val="Commentaire Car"/>
    <w:basedOn w:val="Policepardfaut"/>
    <w:link w:val="Commentaire"/>
    <w:uiPriority w:val="99"/>
    <w:semiHidden/>
    <w:rsid w:val="00F832E2"/>
    <w:rPr>
      <w:rFonts w:ascii="Arial" w:hAnsi="Arial"/>
      <w:sz w:val="20"/>
      <w:szCs w:val="20"/>
    </w:rPr>
  </w:style>
  <w:style w:styleId="Objetducommentaire" w:type="paragraph">
    <w:name w:val="annotation subject"/>
    <w:basedOn w:val="Commentaire"/>
    <w:next w:val="Commentaire"/>
    <w:link w:val="ObjetducommentaireCar"/>
    <w:uiPriority w:val="99"/>
    <w:semiHidden/>
    <w:unhideWhenUsed/>
    <w:rsid w:val="00F832E2"/>
    <w:rPr>
      <w:b/>
      <w:bCs/>
    </w:rPr>
  </w:style>
  <w:style w:customStyle="1" w:styleId="ObjetducommentaireCar" w:type="character">
    <w:name w:val="Objet du commentaire Car"/>
    <w:basedOn w:val="CommentaireCar"/>
    <w:link w:val="Objetducommentaire"/>
    <w:uiPriority w:val="99"/>
    <w:semiHidden/>
    <w:rsid w:val="00F832E2"/>
    <w:rPr>
      <w:rFonts w:ascii="Arial" w:hAnsi="Arial"/>
      <w:b/>
      <w:bCs/>
      <w:sz w:val="20"/>
      <w:szCs w:val="20"/>
    </w:rPr>
  </w:style>
  <w:style w:customStyle="1" w:styleId="code" w:type="paragraph">
    <w:name w:val="code"/>
    <w:basedOn w:val="Normal"/>
    <w:qFormat/>
    <w:rsid w:val="00E82BB7"/>
    <w:pPr>
      <w:shd w:color="auto" w:fill="D9D9D9" w:themeFill="background1" w:themeFillShade="D9" w:val="clear"/>
      <w:spacing w:after="360" w:before="360"/>
      <w:jc w:val="left"/>
    </w:pPr>
    <w:rPr>
      <w:rFonts w:ascii="Lucida Console" w:hAnsi="Lucida Console"/>
      <w:color w:val="1B4377"/>
      <w:sz w:val="20"/>
    </w:rPr>
  </w:style>
  <w:style w:styleId="Listecouleur-Accent1" w:type="table">
    <w:name w:val="Colorful List Accent 1"/>
    <w:basedOn w:val="TableauNormal"/>
    <w:uiPriority w:val="72"/>
    <w:rsid w:val="00AE1BFF"/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NormalWeb" w:type="paragraph">
    <w:name w:val="Normal (Web)"/>
    <w:basedOn w:val="Normal"/>
    <w:uiPriority w:val="99"/>
    <w:unhideWhenUsed/>
    <w:rsid w:val="00443D9D"/>
    <w:pPr>
      <w:spacing w:after="100" w:afterAutospacing="1" w:before="100" w:beforeAutospacing="1"/>
      <w:jc w:val="left"/>
    </w:pPr>
    <w:rPr>
      <w:rFonts w:ascii="Times New Roman" w:cs="Times New Roman" w:eastAsia="Times New Roman" w:hAnsi="Times New Roman"/>
    </w:rPr>
  </w:style>
  <w:style w:styleId="TM4" w:type="paragraph">
    <w:name w:val="toc 4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660"/>
      <w:jc w:val="left"/>
    </w:pPr>
    <w:rPr>
      <w:rFonts w:asciiTheme="minorHAnsi" w:hAnsiTheme="minorHAnsi"/>
      <w:sz w:val="22"/>
      <w:szCs w:val="22"/>
    </w:rPr>
  </w:style>
  <w:style w:styleId="TM5" w:type="paragraph">
    <w:name w:val="toc 5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880"/>
      <w:jc w:val="left"/>
    </w:pPr>
    <w:rPr>
      <w:rFonts w:asciiTheme="minorHAnsi" w:hAnsiTheme="minorHAnsi"/>
      <w:sz w:val="22"/>
      <w:szCs w:val="22"/>
    </w:rPr>
  </w:style>
  <w:style w:styleId="TM6" w:type="paragraph">
    <w:name w:val="toc 6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100"/>
      <w:jc w:val="left"/>
    </w:pPr>
    <w:rPr>
      <w:rFonts w:asciiTheme="minorHAnsi" w:hAnsiTheme="minorHAnsi"/>
      <w:sz w:val="22"/>
      <w:szCs w:val="22"/>
    </w:rPr>
  </w:style>
  <w:style w:styleId="TM7" w:type="paragraph">
    <w:name w:val="toc 7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320"/>
      <w:jc w:val="left"/>
    </w:pPr>
    <w:rPr>
      <w:rFonts w:asciiTheme="minorHAnsi" w:hAnsiTheme="minorHAnsi"/>
      <w:sz w:val="22"/>
      <w:szCs w:val="22"/>
    </w:rPr>
  </w:style>
  <w:style w:styleId="TM8" w:type="paragraph">
    <w:name w:val="toc 8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540"/>
      <w:jc w:val="left"/>
    </w:pPr>
    <w:rPr>
      <w:rFonts w:asciiTheme="minorHAnsi" w:hAnsiTheme="minorHAnsi"/>
      <w:sz w:val="22"/>
      <w:szCs w:val="22"/>
    </w:rPr>
  </w:style>
  <w:style w:styleId="TM9" w:type="paragraph">
    <w:name w:val="toc 9"/>
    <w:basedOn w:val="Normal"/>
    <w:next w:val="Normal"/>
    <w:autoRedefine/>
    <w:uiPriority w:val="39"/>
    <w:unhideWhenUsed/>
    <w:rsid w:val="001C6B38"/>
    <w:pPr>
      <w:spacing w:after="100" w:before="0" w:line="259" w:lineRule="auto"/>
      <w:ind w:left="1760"/>
      <w:jc w:val="left"/>
    </w:pPr>
    <w:rPr>
      <w:rFonts w:asciiTheme="minorHAnsi" w:hAnsiTheme="minorHAnsi"/>
      <w:sz w:val="22"/>
      <w:szCs w:val="22"/>
    </w:rPr>
  </w:style>
  <w:style w:styleId="Accentuationlgre" w:type="character">
    <w:name w:val="Subtle Emphasis"/>
    <w:basedOn w:val="Policepardfaut"/>
    <w:uiPriority w:val="19"/>
    <w:rsid w:val="00DB3F53"/>
    <w:rPr>
      <w:i/>
      <w:iCs/>
      <w:color w:themeColor="text1" w:themeTint="7F" w:val="808080"/>
    </w:rPr>
  </w:style>
  <w:style w:styleId="Accentuationintense" w:type="character">
    <w:name w:val="Intense Emphasis"/>
    <w:basedOn w:val="Policepardfaut"/>
    <w:uiPriority w:val="21"/>
    <w:rsid w:val="00DB3F53"/>
    <w:rPr>
      <w:b/>
      <w:bCs/>
      <w:i/>
      <w:iCs/>
      <w:color w:themeColor="accent1" w:val="4F81BD"/>
    </w:rPr>
  </w:style>
  <w:style w:styleId="Citation" w:type="paragraph">
    <w:name w:val="Quote"/>
    <w:basedOn w:val="Normal"/>
    <w:next w:val="Normal"/>
    <w:link w:val="CitationCar"/>
    <w:uiPriority w:val="29"/>
    <w:rsid w:val="00DB3F53"/>
    <w:rPr>
      <w:i/>
      <w:iCs/>
      <w:color w:themeColor="text1" w:val="000000"/>
    </w:rPr>
  </w:style>
  <w:style w:customStyle="1" w:styleId="CitationCar" w:type="character">
    <w:name w:val="Citation Car"/>
    <w:basedOn w:val="Policepardfaut"/>
    <w:link w:val="Citation"/>
    <w:uiPriority w:val="29"/>
    <w:rsid w:val="00DB3F53"/>
    <w:rPr>
      <w:rFonts w:ascii="Arial" w:hAnsi="Arial"/>
      <w:i/>
      <w:iCs/>
      <w:color w:themeColor="text1" w:val="000000"/>
    </w:rPr>
  </w:style>
  <w:style w:styleId="Citationintense" w:type="paragraph">
    <w:name w:val="Intense Quote"/>
    <w:basedOn w:val="Normal"/>
    <w:next w:val="Normal"/>
    <w:link w:val="CitationintenseCar"/>
    <w:uiPriority w:val="30"/>
    <w:rsid w:val="00DB3F53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DB3F53"/>
    <w:rPr>
      <w:rFonts w:ascii="Arial" w:hAnsi="Arial"/>
      <w:b/>
      <w:bCs/>
      <w:i/>
      <w:iCs/>
      <w:color w:themeColor="accent1" w:val="4F81BD"/>
    </w:rPr>
  </w:style>
  <w:style w:styleId="Rfrenceintense" w:type="character">
    <w:name w:val="Intense Reference"/>
    <w:basedOn w:val="Policepardfaut"/>
    <w:uiPriority w:val="32"/>
    <w:rsid w:val="00DB3F53"/>
    <w:rPr>
      <w:b/>
      <w:bCs/>
      <w:smallCaps/>
      <w:color w:themeColor="accent2" w:val="C0504D"/>
      <w:spacing w:val="5"/>
      <w:u w:val="single"/>
    </w:rPr>
  </w:style>
  <w:style w:customStyle="1" w:styleId="citationdecalee" w:type="paragraph">
    <w:name w:val="citation_decalee"/>
    <w:basedOn w:val="Normal"/>
    <w:qFormat/>
    <w:rsid w:val="00DF0060"/>
    <w:pPr>
      <w:pBdr>
        <w:left w:color="9D1C69" w:space="4" w:sz="12" w:val="single"/>
      </w:pBdr>
      <w:ind w:left="709" w:right="1269"/>
      <w:contextualSpacing/>
    </w:pPr>
    <w:rPr>
      <w:rFonts w:ascii="Times New Roman" w:hAnsi="Times New Roman"/>
      <w:i/>
    </w:rPr>
  </w:style>
  <w:style w:styleId="Tabledesillustrations" w:type="paragraph">
    <w:name w:val="table of figures"/>
    <w:basedOn w:val="Normal"/>
    <w:next w:val="Normal"/>
    <w:uiPriority w:val="99"/>
    <w:unhideWhenUsed/>
    <w:rsid w:val="009C6337"/>
    <w:pPr>
      <w:spacing w:after="0"/>
      <w:ind w:hanging="1134" w:left="1134"/>
    </w:pPr>
  </w:style>
  <w:style w:styleId="Mentionnonrsolue" w:type="character">
    <w:name w:val="Unresolved Mention"/>
    <w:basedOn w:val="Policepardfaut"/>
    <w:uiPriority w:val="99"/>
    <w:semiHidden/>
    <w:unhideWhenUsed/>
    <w:rsid w:val="004107E7"/>
    <w:rPr>
      <w:color w:val="605E5C"/>
      <w:shd w:color="auto" w:fill="E1DFDD" w:val="clear"/>
    </w:rPr>
  </w:style>
  <w:style w:customStyle="1" w:styleId="styletableau" w:type="table">
    <w:name w:val="style_tableau"/>
    <w:basedOn w:val="Tableauclassique3"/>
    <w:uiPriority w:val="99"/>
    <w:rsid w:val="007E3D8D"/>
    <w:pPr>
      <w:jc w:val="center"/>
    </w:pPr>
    <w:rPr>
      <w:rFonts w:ascii="Arial" w:hAnsi="Arial"/>
      <w:color w:themeColor="text1" w:val="000000"/>
      <w:sz w:val="20"/>
      <w:szCs w:val="20"/>
    </w:rPr>
    <w:tblPr>
      <w:tblStyleRowBandSize w:val="1"/>
      <w:jc w:val="center"/>
      <w:tblBorders>
        <w:top w:color="1B4377" w:space="0" w:sz="4" w:val="single"/>
        <w:left w:color="1B4377" w:space="0" w:sz="4" w:val="single"/>
        <w:bottom w:color="1B4377" w:space="0" w:sz="4" w:val="single"/>
        <w:right w:color="1B4377" w:space="0" w:sz="4" w:val="single"/>
        <w:insideH w:color="1B4377" w:space="0" w:sz="4" w:val="single"/>
        <w:insideV w:color="1B4377" w:space="0" w:sz="4" w:val="single"/>
      </w:tblBorders>
    </w:tblPr>
    <w:trPr>
      <w:jc w:val="center"/>
    </w:trPr>
    <w:tcPr>
      <w:shd w:color="auto" w:fill="FFFFFF" w:themeFill="background1" w:val="clear"/>
      <w:vAlign w:val="center"/>
    </w:tcPr>
    <w:tblStylePr w:type="firstRow">
      <w:rPr>
        <w:rFonts w:ascii="Arial" w:hAnsi="Arial"/>
        <w:b/>
        <w:bCs/>
        <w:i w:val="0"/>
        <w:i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lastRow">
      <w:rPr>
        <w:rFonts w:ascii="Arial" w:hAnsi="Arial"/>
        <w:b/>
        <w:color w:themeColor="text1" w:val="000000"/>
        <w:sz w:val="24"/>
      </w:rPr>
      <w:tblPr/>
      <w:tcPr>
        <w:tcBorders>
          <w:top w:color="1B4377" w:space="0" w:sz="4" w:val="single"/>
          <w:left w:color="1B4377" w:space="0" w:sz="4" w:val="single"/>
          <w:bottom w:color="1B4377" w:space="0" w:sz="4" w:val="single"/>
          <w:right w:color="1B4377" w:space="0" w:sz="4" w:val="single"/>
          <w:insideH w:color="1B4377" w:space="0" w:sz="4" w:val="single"/>
          <w:insideV w:color="1B4377" w:space="0" w:sz="4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rFonts w:ascii="Arial" w:hAnsi="Arial"/>
        <w:b/>
        <w:bCs/>
        <w:color w:themeColor="background1" w:val="FFFFFF"/>
        <w:sz w:val="24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color="FFFFFF" w:space="0" w:sz="4" w:themeColor="background1" w:val="single"/>
          <w:insideV w:color="FFFFFF" w:space="0" w:sz="4" w:themeColor="background1" w:val="single"/>
          <w:tl2br w:color="auto" w:space="0" w:sz="0" w:val="none"/>
          <w:tr2bl w:color="auto" w:space="0" w:sz="0" w:val="none"/>
        </w:tcBorders>
        <w:shd w:color="auto" w:fill="1B4377" w:val="clear"/>
      </w:tcPr>
    </w:tblStylePr>
    <w:tblStylePr w:type="band2Horz">
      <w:tblPr/>
      <w:tcPr>
        <w:shd w:color="auto" w:fill="D9D9D9" w:themeFill="background1" w:themeFillShade="D9" w:val="clear"/>
      </w:tcPr>
    </w:tblStylePr>
  </w:style>
  <w:style w:styleId="Tableauclassique3" w:type="table">
    <w:name w:val="Table Classic 3"/>
    <w:basedOn w:val="TableauNormal"/>
    <w:uiPriority w:val="99"/>
    <w:semiHidden/>
    <w:unhideWhenUsed/>
    <w:rsid w:val="00E82BB7"/>
    <w:pPr>
      <w:spacing w:after="120" w:before="120"/>
      <w:jc w:val="both"/>
    </w:pPr>
    <w:rPr>
      <w:color w:val="000080"/>
    </w:rPr>
    <w:tblPr>
      <w:tblBorders>
        <w:top w:color="000000" w:space="0" w:sz="12" w:val="single"/>
        <w:left w:color="000000" w:space="0" w:sz="12" w:val="single"/>
        <w:bottom w:color="000000" w:space="0" w:sz="12" w:val="single"/>
        <w:right w:color="000000" w:space="0" w:sz="12" w:val="single"/>
      </w:tblBorders>
    </w:tblPr>
    <w:tcPr>
      <w:shd w:color="C0C0C0" w:fill="FFFFFF" w:val="solid"/>
    </w:tcPr>
    <w:tblStylePr w:type="firstRow">
      <w:rPr>
        <w:b/>
        <w:bCs/>
        <w:i/>
        <w:iCs/>
        <w:color w:val="FFFFFF"/>
      </w:rPr>
      <w:tblPr/>
      <w:tcPr>
        <w:tcBorders>
          <w:bottom w:color="000000" w:space="0" w:sz="6" w:val="single"/>
          <w:tl2br w:color="auto" w:space="0" w:sz="0" w:val="none"/>
          <w:tr2bl w:color="auto" w:space="0" w:sz="0" w:val="none"/>
        </w:tcBorders>
        <w:shd w:color="000080" w:fill="FFFFFF" w:val="solid"/>
      </w:tcPr>
    </w:tblStylePr>
    <w:tblStylePr w:type="lastRow">
      <w:rPr>
        <w:color w:val="000080"/>
      </w:rPr>
      <w:tblPr/>
      <w:tcPr>
        <w:tcBorders>
          <w:top w:color="000000" w:space="0" w:sz="12" w:val="single"/>
          <w:tl2br w:color="auto" w:space="0" w:sz="0" w:val="none"/>
          <w:tr2bl w:color="auto" w:space="0" w:sz="0" w:val="none"/>
        </w:tcBorders>
        <w:shd w:color="FFFFFF" w:fill="FFFFFF" w:val="solid"/>
      </w:tcPr>
    </w:tblStylePr>
    <w:tblStylePr w:type="firstCol">
      <w:rPr>
        <w:b/>
        <w:bCs/>
        <w:color w:val="000000"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2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97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5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801120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554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4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1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2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96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7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487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18639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8002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7114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83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25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93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4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89714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977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8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8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65045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84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3" Target="numbering.xml" /><Relationship Type="http://schemas.openxmlformats.org/officeDocument/2006/relationships/styles" Id="rId32" Target="styles.xml" /><Relationship Type="http://schemas.openxmlformats.org/officeDocument/2006/relationships/settings" Id="rId31" Target="settings.xml" /><Relationship Type="http://schemas.openxmlformats.org/officeDocument/2006/relationships/webSettings" Id="rId30" Target="webSettings.xml" /><Relationship Type="http://schemas.openxmlformats.org/officeDocument/2006/relationships/fontTable" Id="rId29" Target="fontTable.xml" /><Relationship Type="http://schemas.openxmlformats.org/officeDocument/2006/relationships/theme" Id="rId28" Target="theme/theme1.xml" /><Relationship Type="http://schemas.openxmlformats.org/officeDocument/2006/relationships/footnotes" Id="rId27" Target="footnotes.xml" /><Relationship Type="http://schemas.openxmlformats.org/officeDocument/2006/relationships/comments" Id="rId26" Target="comments.xml" /><Relationship Id="rId8" Target="media/image1.jpeg" Type="http://schemas.openxmlformats.org/officeDocument/2006/relationships/image" /><Relationship Id="rId21" Target="media/image10.png" Type="http://schemas.openxmlformats.org/officeDocument/2006/relationships/image" /><Relationship Id="rId17" Target="media/image7.png" Type="http://schemas.openxmlformats.org/officeDocument/2006/relationships/image" /><Relationship Id="rId25" Target="footer1.xml" Type="http://schemas.openxmlformats.org/officeDocument/2006/relationships/footer" /><Relationship Id="rId16" Target="media/image6.emf" Type="http://schemas.openxmlformats.org/officeDocument/2006/relationships/image" /><Relationship Id="rId20" Target="media/image9.png" Type="http://schemas.openxmlformats.org/officeDocument/2006/relationships/image" /><Relationship Id="rId11" Target="media/image3.png" Type="http://schemas.openxmlformats.org/officeDocument/2006/relationships/image" /><Relationship Id="rId15" Target="media/image5.png" Type="http://schemas.openxmlformats.org/officeDocument/2006/relationships/image" /><Relationship Id="rId19" Target="media/image8.png" Type="http://schemas.openxmlformats.org/officeDocument/2006/relationships/image" /><Relationship Id="rId9" Target="media/image2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chazard_modele_these_medecine_2022.dotx</Template>
  <TotalTime>55</TotalTime>
  <Pages>26</Pages>
  <Words>4423</Words>
  <Characters>24331</Characters>
  <Application>Microsoft Office Word</Application>
  <DocSecurity>0</DocSecurity>
  <Lines>202</Lines>
  <Paragraphs>57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SARL CEFIMIS</Company>
  <LinksUpToDate>false</LinksUpToDate>
  <CharactersWithSpaces>28697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render tables</dc:title>
  <dc:creator/>
  <dc:language>fr</dc:language>
  <cp:keywords/>
  <dcterms:created xsi:type="dcterms:W3CDTF">2026-08-20T09:23:29Z</dcterms:created>
  <dcterms:modified xsi:type="dcterms:W3CDTF">2026-08-20T09:23:29Z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appearance">
    <vt:lpwstr>simple</vt:lpwstr>
  </property>
  <property fmtid="{D5CDD505-2E9C-101B-9397-08002B2CF9AE}" pid="4" name="colorlinks">
    <vt:lpwstr>True</vt:lpwstr>
  </property>
  <property fmtid="{D5CDD505-2E9C-101B-9397-08002B2CF9AE}" pid="5" name="crossref">
    <vt:lpwstr/>
  </property>
  <property fmtid="{D5CDD505-2E9C-101B-9397-08002B2CF9AE}" pid="6" name="date">
    <vt:lpwstr>2026-08-20</vt:lpwstr>
  </property>
  <property fmtid="{D5CDD505-2E9C-101B-9397-08002B2CF9AE}" pid="7" name="fig-cap-location">
    <vt:lpwstr>bottom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4</vt:lpwstr>
  </property>
  <property fmtid="{D5CDD505-2E9C-101B-9397-08002B2CF9AE}" pid="14" name="revealjs-plugins">
    <vt:lpwstr/>
  </property>
  <property fmtid="{D5CDD505-2E9C-101B-9397-08002B2CF9AE}" pid="15" name="tbl-cap-location">
    <vt:lpwstr>top</vt:lpwstr>
  </property>
  <property fmtid="{D5CDD505-2E9C-101B-9397-08002B2CF9AE}" pid="16" name="toc-title">
    <vt:lpwstr/>
  </property>
</Properties>
</file>