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1. Caractéristiques des patients à l'inclusion,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2. Caractéristiques tumorales, prise en charge chirurgicale et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3. Nombre de cures reçues,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d'induction,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adjuvante,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avec dose relative moyenne &gt;= 80 %,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4. Doses reçues et adaptations de doses,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Pourcentage d'adaptation,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C4,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C8,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C12,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4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35 patients.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5. Toxicité chimio-induite de grade III-IV,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Toxicité de grade III-IV,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Common Terminology Criteria for Adverse Events (CTCAE) v5.0.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6. Facteurs associés au nombre total de cures reçues.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7. Évènements.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8. Estimations de la survie globale,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9. Facteurs associés à la survie globale.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10. Estimations de la survie sans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11. Facteurs associés à la survie sans récidive.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2026-09-15T10:13:33Z</dcterms:modified>
  <cp:category/>
</cp:coreProperties>
</file>