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univariable</w:t>
            </w:r>
          </w:p>
        </w:tc>
        <w:tc>
          <w:tcPr>
            <w:gridSpan w:val="3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multivariable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HR [IC95%]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aHR [IC95%]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0,95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25/53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25/51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21/50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0,98 [0,55 ; 1,76]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17/44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0,77 [0,40 ; 1,47]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14/25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0,88 [0,41 ; 1,91]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18/36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1,10 [0,54 ; 2,21]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2/17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0,35 [0,08 ; 1,53]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Âge au diagnostic, années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46/103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1,10 [0,93 ; 1,31]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42/95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1,11 [0,93 ; 1,33]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Résection chirurgicale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28/68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28/68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14/27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1,29 [0,68 ; 2,45]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14/27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1,22 [0,62 ; 2,39]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Complication post-opératoire majeure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43/98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4,88 [2,45 ; 9,71]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&lt;0,001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Le critère de jugement est le délai entre la chirurgie et le décès toutes causes. Les patients sans évènement sont censurés à la date de point du centre. Un hazard ratio &gt; 1 est en faveur d'un risque plus élevé de décès toutes causes comparé au groupe de référence. HR : hazard ratio ; aHR : hazard ratio ajusté ; n/N : nombre d'évènements/nombre total d'observations ; IC95% : intervalle de confiance à 95%.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Modèle de régression de Cox multivariable stratifié sur le centre, incluant 42 évènements pour 95 observations complètes (8 observations supprimées pour cause de données manquantes).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Incrémentation par tranches de 5 ans.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3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Définie par un grade supérieur ou égal à III selon la classification de Clavien-Dindo.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ptos">
    <w:altName w:val="Calibri"/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2026-09-15T10:13:19Z</dcterms:modified>
  <cp:category/>
</cp:coreProperties>
</file>