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Probabilité de survie globale, % [IC95%]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Caractéristique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12 mois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24 mois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36 mois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48 mois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83,1 [76,1 ; 90,8]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62,8 [53,3 ; 74,1]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50,6 [40,1 ; 63,8]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29,7 [18,0 ; 49,0]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  <w:t xml:space="preserve">Adjuvant seul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88,7 [80,5 ; 97,6]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65,7 [53,2 ; 81,2]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47,7 [34,2 ; 66,7]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31,8 [18,0 ; 56,3]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999999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  <w:t xml:space="preserve">Péri-opératoire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  <w:t xml:space="preserve">77,7 [66,8 ; 90,2]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  <w:t xml:space="preserve">60,1 [46,5 ; 77,8]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  <w:t xml:space="preserve">55,5 [41,1 ; 75,0]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  <w:t xml:space="preserve">27,8 [11,8 ; 65,3]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0099FF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Le critère de jugement est le délai entre la chirurgie et le décès toutes causes. Les patients sans évènement sont censurés à la date de point du centre. IC95% : intervalle de confiance à 95%.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1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Test du log-rank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ptos">
    <w:altName w:val="Calibri"/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julien</cp:lastModifiedBy>
  <cp:revision>9</cp:revision>
  <dcterms:created xsi:type="dcterms:W3CDTF">2017-02-28T11:18:00Z</dcterms:created>
  <dcterms:modified xsi:type="dcterms:W3CDTF">2026-09-15T10:13:26Z</dcterms:modified>
  <cp:category/>
</cp:coreProperties>
</file>