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Résécabilité,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Complication post-opératoire,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Métastatique,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Une récidive à la fois locale et métastatique est comptée dans les deux catégories.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2026-09-15T10:13:30Z</dcterms:modified>
  <cp:category/>
</cp:coreProperties>
</file>