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(20,0)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(35,0)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(48,0)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(16,5)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(18,9)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Sexe,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Femme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(45,6)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(37,7)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(54,0)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33 (62,3)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23 (46,0)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65,3 (57,9—70,8)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66,1 (59,5—71,9)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63,5 (55,8—67,9)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33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 (36,0)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60-69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 (27,2)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(32,1)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11 (22,0)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PS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 (66,7)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(81,8)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(52,2)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(30,0)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(15,9)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(43,5)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Douleur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40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CA 19-9 au diagnostic, UI/L,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82,0 (20,0—147,0)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79,0 (25,0—110,0)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90,0 (19,0—331,0)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CA 19-9 au diagnostic &gt;= 500 UI/L,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Localisation tumorale,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Tête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79 (76,7)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38 (71,7)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(12,6)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Queue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11 (10,7)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Stade 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T1-T2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85 (85,0)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44 (89,8)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T3-T4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(15,0)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Stade 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(29,0)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(25,5)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49 (49,0)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 (54,9)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22 (22,0)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(19,6)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(24,5)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 ; DM : données manquantes par groupe.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2026-09-06T19:28:49Z</dcterms:modified>
  <cp:category/>
</cp:coreProperties>
</file>