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Décès toutes causes,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Premier évènement,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(62,0)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Décès sans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(6,0)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Censure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23 (43,4)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(32,0)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2026-09-06T19:29:00Z</dcterms:modified>
  <cp:category/>
</cp:coreProperties>
</file>