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Toxicité de grade III-IV,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Common Terminology Criteria for Adverse Events (CTCAE) v5.0.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2026-09-06T19:29:11Z</dcterms:modified>
  <cp:category/>
</cp:coreProperties>
</file>