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Imag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1. Flowchart</w:t>
      </w:r>
    </w:p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96739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67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/>
      <w:r>
        <w:br w:type="page"/>
      </w:r>
    </w:p>
    <w:p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48006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0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2. Distribution du nombre de cures reçues, par phase et selon le protocole de chimiothérapie.</w:t>
      </w:r>
    </w:p>
    <w:p>
      <w:pPr/>
      <w:r>
        <w:br w:type="page"/>
      </w:r>
    </w:p>
    <w:p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3. Recul de suivi, selon le protocole de chimiothérapie.</w:t>
      </w:r>
    </w:p>
    <w:p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Recul de suivi estimé par la méthode de Kaplan-Meier inversée : l'évènement est la fin du suivi, la censure est le décès.</w:t>
      </w:r>
    </w:p>
    <w:p>
      <w:pPr/>
      <w:r>
        <w:br w:type="page"/>
      </w:r>
    </w:p>
    <w:p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4. Survie globale dans la population totale.</w:t>
      </w:r>
    </w:p>
    <w:p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>
      <w:pPr/>
      <w:r>
        <w:br w:type="page"/>
      </w:r>
    </w:p>
    <w:p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5. Survie globale, selon le protocole de chimiothérapie.</w:t>
      </w:r>
    </w:p>
    <w:p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>
      <w:pPr/>
      <w:r>
        <w:br w:type="page"/>
      </w:r>
    </w:p>
    <w:p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6. Survie sans récidive dans la population totale.</w:t>
      </w:r>
    </w:p>
    <w:p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p>
      <w:pPr/>
      <w:r>
        <w:br w:type="page"/>
      </w:r>
    </w:p>
    <w:p>
      <w:pPr>
        <w:pStyle w:val="Normal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240" w:line="240"/>
        <w:ind w:left="0" w:right="0" w:firstLine="0" w:firstLineChars="0"/>
      </w:pPr>
      <w:r>
        <w:rPr/>
        <w:drawing>
          <wp:inline distT="0" distB="0" distL="0" distR="0">
            <wp:extent cx="5760720" cy="308610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6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20" w:line="240"/>
        <w:ind w:left="0" w:right="0" w:firstLine="0" w:firstLineChars="0"/>
      </w:pPr>
      <w:r>
        <w:rPr>
          <w:rFonts w:ascii="Aptos" w:hAnsi="Aptos" w:eastAsia="Aptos" w:cs="Aptos"/>
          <w:i w:val="false"/>
          <w:b w:val="true"/>
          <w:u w:val="none"/>
          <w:strike w:val="false"/>
          <w:sz w:val="20"/>
          <w:szCs w:val="20"/>
          <w:color w:val="111111"/>
        </w:rPr>
        <w:t xml:space="preserve">Figure 7. Survie sans récidive, selon le protocole de chimiothérapie.</w:t>
      </w:r>
    </w:p>
    <w:p>
      <w:pPr>
        <w:pStyle w:val="ImageCaption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ptos" w:hAnsi="Aptos" w:eastAsia="Aptos" w:cs="Aptos"/>
          <w:i w:val="false"/>
          <w:b w:val="false"/>
          <w:u w:val="none"/>
          <w:strike w:val="false"/>
          <w:sz w:val="18"/>
          <w:szCs w:val="18"/>
          <w:color w:val="555555"/>
        </w:rPr>
        <w:t xml:space="preserve">Les évènements et censures sont présentés en effectifs cumulés au cours du temps.</w:t>
      </w:r>
    </w:p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a0390405941ab6ee96fc0b77eb5efb643f009ddc.png"/>
<Relationship Id="rId8" Type="http://schemas.openxmlformats.org/officeDocument/2006/relationships/image" Target="media/0e14dd101533957266b78b095b10e7858810294e.png"/>
<Relationship Id="rId9" Type="http://schemas.openxmlformats.org/officeDocument/2006/relationships/image" Target="media/f31aa816323e5b2a557b88ac6cc1a2c60d260539.png"/>
<Relationship Id="rId10" Type="http://schemas.openxmlformats.org/officeDocument/2006/relationships/image" Target="media/c2c06346e844f210ce1ee4c04e8863b483839d3f.png"/>
<Relationship Id="rId11" Type="http://schemas.openxmlformats.org/officeDocument/2006/relationships/image" Target="media/5b3cb86ae5974d2d359ba338a6ee6efc1ddb209c.png"/>
<Relationship Id="rId12" Type="http://schemas.openxmlformats.org/officeDocument/2006/relationships/image" Target="media/d2f5a09d5668ff120bbf0b95aeca4060789438d3.png"/>
<Relationship Id="rId13" Type="http://schemas.openxmlformats.org/officeDocument/2006/relationships/image" Target="media/a053d5ee37494b443da6d40b9f075e5b6c86c677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2026-09-16T19:32:37Z</dcterms:modified>
  <cp:category/>
</cp:coreProperties>
</file>