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1. Caractéristiques des patients à l'inclusion,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48,5%)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Centre, n (%)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 (24,3)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 (30,2)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 (18,0)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 (24,3)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 (28,3)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(20,0)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 (35,0)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(22,6)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 (48,0)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 (16,5)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(18,9)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 (14,0)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Sexe,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Femme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47 (45,6)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20 (37,7)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 (54,0)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Homme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56 (54,4)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33 (62,3)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23 (46,0)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65,3 (57,9—70,8)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66,1 (59,5—71,9)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63,5 (55,8—67,9)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33 (32,0)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 (28,3)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18 (36,0)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60-69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42 (40,8)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(39,6)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(42,0)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≥70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28 (27,2)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 (32,1)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11 (22,0)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PS au diagnostic,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9/4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60 (66,7)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 (81,8)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 (52,2)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 (30,0)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 (15,9)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20 (43,5)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 (3,3)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Douleur au diagnostic,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40 (40,8)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CA 19-9 au diagnostic, UI/L,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23/23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82,0 (20,0—147,0)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79,0 (25,0—110,0)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90,0 (19,0—331,0)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CA 19-9 au diagnostic &gt;= 500 UI/L,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23/23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 (12,3)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Localisation tumorale,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Tête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79 (76,7)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38 (71,7)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 (82,0)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Corps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(12,6)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(15,1)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Queue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11 (10,7)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 (13,2)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IQR : intervalle interquartile ; DM : données manquantes par groupe.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2. Caractéristiques tumorales, prise en charge chirurgicale et récidive,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48,5%)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Résécabilité,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3/2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Résécable d'emblée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62 (63,3)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 (100,0)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Borderline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(19,4)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Localement avancé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 (17,3)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 (35,4)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Stade 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T1-T2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85 (85,0)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 (80,4)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44 (89,8)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T3-T4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 (15,0)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(19,6)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Stade 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 (29,0)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(25,5)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 (32,7)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49 (49,0)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28 (54,9)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(42,9)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22 (22,0)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(19,6)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(24,5)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Durée d'hospitalisation, jours,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3/2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16,0 (12,0—23,0)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16,5 (12,0—21,0)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15,0 (12,0—23,0)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Complication post-opératoire,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Pas de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60 (61,2)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 (56,9)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 (66,0)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(11,8)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(15,7)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III-IV-V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14 (14,3)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(15,7)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Résection chirurgicale,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68 (71,6)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 (70,6)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32 (72,7)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 (28,4)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 (29,4)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Type de 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Aucune,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46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 (50,9)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Locale,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 (28,2)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(24,5)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 (32,0)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0,40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Métastatique,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39 (37,9)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20 (37,7)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(38,0)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0,98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IQR : intervalle interquartile ; DM : données manquantes par groupe.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Selon les critères du National Comprehensive Cancer Network (NCCN).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Selon la classification de Clavien-Dindo.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Une récidive à la fois locale et métastatique est comptée dans les deux catégories.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3. Nombre de cures reçues,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48,5%)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Chimiothérapie d'induction,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 (100,0)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Nombre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6,0 (5,0—9,0)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Chimiothérapie adjuvante,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94 (91,3)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 (94,3)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44 (88,0)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Nombre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6,0 (5,0—12,0)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12,0 (10,0—12,0)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6,0 (4,0—6,0)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Nombre total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12,0 (11,0—12,0)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12,0 (10,0—12,0)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12,0 (11,0—13,0)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Nombre total de cures &gt;= 12,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65 (63,1)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 (58,5)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34 (68,0)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avec dose relative moyenne &gt;= 80 %,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(5,8)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(7,5)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(4,0)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IQR : intervalle interquartile.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Nombre de patients ayant reçu au moins une cure.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Sans réduction de dose de plus de 20 % à la dernière cure de chaque phase, sur aucune des trois molécules.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4. Doses reçues et adaptations de doses,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(N=100)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Dernière dose reçue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5-FU,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Irinotécan,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70,0 (50,0—80,0)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70,0 (50,0—80,0)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70,0 (50,0—77,5)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Oxaliplatine,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25,0 (0,0—70,0)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 (0,0—75,0)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50,0 (0,0—70,0)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Adaptation de doses,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95 (95,0)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47 (94,0)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48 (96,0)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&gt;0,99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Pourcentage d'adaptation,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Pas d'adaptation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(4,1)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 (6,0)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(8,2)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&gt;20%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86 (87,8)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 (82,0)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45 (93,8)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Patients ayant reçu au moins une cure de chimiothérapie d'induction ou adjuvante (100 sur 103 patients inclus). IQR : intervalle interquartile ; DM : données manquantes par groupe.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Adaptation maximale parmi les trois molécules, à la dernière cure.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5. Toxicité chimio-induite de grade III-IV,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(N=100)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Toxicité de grade III-IV,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32 (32,7)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20 (40,0)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(25,0)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Nausées/vomissement,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(13,3)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(10,4)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Neurotoxicité,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Diarrhée,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(10,2)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 (18,0)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Asthénie,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(6,1)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Neutropénie,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(5,1)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0,36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Cytolyse/cholestase, n (%)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1/2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(1,0)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Patients ayant reçu au moins une cure de chimiothérapie d'induction ou adjuvante (100 sur 103 patients inclus). DM : données manquantes par groupe.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Selon la Common Terminology Criteria for Adverse Events (CTCAE) v5.0.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6. Facteurs associés au nombre total de cures reçues.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RM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aRM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0,004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1,21 [1,06 ; 1,38]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1,22 [1,05 ; 1,41]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1,24 [1,02 ; 1,51]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1,24 [1,01 ; 1,53]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1,20 [1,00 ; 1,44]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1,11 [0,91 ; 1,35]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1,21 [0,97 ; 1,50]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1,35 [1,06 ; 1,72]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0,96 [0,92 ; 0,99]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0,95 [0,91 ; 0,99]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0,89 [0,76 ; 1,04]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0,94 [0,79 ; 1,12]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Complication post-opératoire majeure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0,70 [0,55 ; 0,87]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0,73 [0,58 ; 0,91]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nombre total de cures de chimiothérapie reçues, toutes phases confondues, modélisé en comptage. RM : rapport du nombre moyen de cures ; aRM : rapport du nombre moyen de cures ajusté ; IC95% : intervalle de confiance à 95%.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Modèle de régression de quasi-Poisson multivariable portant sur 91 observations complètes (12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Définie par un grade supérieur ou égal à III selon la classification de Clavien-Dindo.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7. Évènements.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48,5%)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Décès toutes causes, n (%)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46 (44,7)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 (47,2)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(42,0)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Premier évènement,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56 (54,4)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 (47,2)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 (62,0)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Décès sans 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(7,8)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 (6,0)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Censure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39 (37,9)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23 (43,4)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 (32,0)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8. Estimations de la survie globale,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Probabilité de survie globale, % [IC95%]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638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Caractéristique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12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24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36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48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83,1 [76,1 ; 90,8]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62,8 [53,3 ; 74,1]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50,6 [40,1 ; 63,8]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29,7 [18,0 ; 49,0]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88,7 [80,5 ; 97,6]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65,7 [53,2 ; 81,2]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47,7 [34,2 ; 66,7]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31,8 [18,0 ; 56,3]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999999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Péri-opératoire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77,7 [66,8 ; 90,2]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60,1 [46,5 ; 77,8]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55,5 [41,1 ; 75,0]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27,8 [11,8 ; 65,3]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0099FF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délai entre la chirurgie et le décès toutes causes. Les patients sans évènement sont censurés à la date de point du centre. IC95% : intervalle de confiance à 95%.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Test du log-rank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9. Facteurs associés à la survie globale.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HR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aHR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0,95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25/53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25/51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21/50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0,98 [0,55 ; 1,76]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17/44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0,77 [0,40 ; 1,47]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14/25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0,88 [0,41 ; 1,91]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18/36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1,10 [0,54 ; 2,21]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0,35 [0,08 ; 1,53]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46/103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1,10 [0,93 ; 1,31]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42/95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1,11 [0,93 ; 1,33]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28/68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28/68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14/27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1,29 [0,68 ; 2,45]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14/27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1,22 [0,62 ; 2,39]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Complication post-opératoire majeure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43/98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4,88 [2,45 ; 9,71]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&lt;0,001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délai entre la chirurgie et le décès toutes causes. Les patients sans évènement sont censurés à la date de point du centre. Un hazard ratio &gt; 1 est en faveur d'un risque plus élevé de décès toutes causes comparé au groupe de référence. HR : hazard ratio ; aHR : hazard ratio ajusté ; n/N : nombre d'évènements/nombre total d'observations ; IC95% : intervalle de confiance à 95%.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Modèle de régression de Cox multivariable stratifié sur le centre, incluant 42 évènements pour 95 observations complètes (8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Définie par un grade supérieur ou égal à III selon la classification de Clavien-Dindo.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10. Estimations de la survie sans récidive,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Probabilité de survie sans récidive, % [IC95%]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638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Caractéristique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12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24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36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48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63,0 [54,1 ; 73,2]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37,1 [28,1 ; 48,8]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24,7 [15,5 ; 39,3]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24,7 [15,5 ; 39,3]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72,4 [61,0 ; 85,9]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42,7 [30,3 ; 60,1]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29,1 [16,5 ; 51,4]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29,1 [16,5 ; 51,4]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999999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Péri-opératoire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53,2 [40,9 ; 69,2]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31,5 [20,2 ; 49,3]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21,0 [10,2 ; 43,3]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21,0 [10,2 ; 43,3]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0099FF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délai entre la chirurgie et la récidive ou le décès toutes causes. Les patients sans évènement sont censurés à la date de point du centre. IC95% : intervalle de confiance à 95%.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Test du log-rank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11. Facteurs associés à la survie sans récidive.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HR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aHR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0,070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30/53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30/51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34/50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1,58 [0,96 ; 2,59]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29/44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1,39 [0,82 ; 2,36]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18/25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0,78 [0,39 ; 1,56]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26/36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1,39 [0,76 ; 2,55]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0,53 [0,20 ; 1,42]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64/103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1,03 [0,89 ; 1,19]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59/95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1,05 [0,90 ; 1,22]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18/27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1,10 [0,63 ; 1,92]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18/27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1,03 [0,57 ; 1,85]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Complication post-opératoire majeure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60/98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3,05 [1,64 ; 5,69]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délai entre la chirurgie et la récidive ou le décès toutes causes. Les patients sans évènement sont censurés à la date de point du centre. Un hazard ratio &gt; 1 est en faveur d'un risque plus élevé de récidive ou décès toutes causes comparé au groupe de référence. HR : hazard ratio ; aHR : hazard ratio ajusté ; n/N : nombre d'évènements/nombre total d'observations ; IC95% : intervalle de confiance à 95%.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Modèle de régression de Cox multivariable stratifié sur le centre, incluant 59 évènements pour 95 observations complètes (8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Définie par un grade supérieur ou égal à III selon la classification de Clavien-Dindo.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696B7C68"/>
    <w:multiLevelType w:val="multilevel"/>
    <w:name w:val="hebstr-doc headings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pStyle w:val="Heading1"/>
      <w:lvlText w:val="%1%2"/>
      <w:lvlJc w:val="left"/>
      <w:pPr>
        <w:ind w:left="576" w:hanging="576"/>
      </w:pPr>
    </w:lvl>
    <w:lvl w:ilvl="2">
      <w:start w:val="1"/>
      <w:numFmt w:val="decimal"/>
      <w:pStyle w:val="Heading2"/>
      <w:lvlText w:val="%1%2.%3"/>
      <w:lvlJc w:val="left"/>
      <w:pPr>
        <w:ind w:left="720" w:hanging="720"/>
      </w:pPr>
    </w:lvl>
    <w:lvl w:ilvl="3">
      <w:start w:val="1"/>
      <w:numFmt w:val="decimal"/>
      <w:pStyle w:val="Heading3"/>
      <w:lvlText w:val="%1%2.%3.%4"/>
      <w:lvlJc w:val="left"/>
      <w:pPr>
        <w:ind w:left="864" w:hanging="864"/>
      </w:p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</w:lvl>
    <w:lvl w:ilvl="5">
      <w:start w:val="1"/>
      <w:numFmt w:val="decimal"/>
      <w:pStyle w:val="Heading5"/>
      <w:lvlText w:val="%1%2.%3.%4.%5.%6"/>
      <w:lvlJc w:val="left"/>
      <w:pPr>
        <w:ind w:left="1152" w:hanging="1152"/>
      </w:p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</w:lvl>
    <w:lvl w:ilvl="7">
      <w:start w:val="1"/>
      <w:numFmt w:val="decimal"/>
      <w:pStyle w:val="Heading7"/>
      <w:lvlText w:val="%1%2.%3.%4.%5.%6.%7.%8"/>
      <w:lvlJc w:val="left"/>
      <w:pPr>
        <w:ind w:left="1440" w:hanging="1440"/>
      </w:pPr>
    </w:lvl>
    <w:lvl w:ilvl="8">
      <w:start w:val="1"/>
      <w:numFmt w:val="decimal"/>
      <w:pStyle w:val="Heading8"/>
      <w:lvlText w:val="%1%2.%3.%4.%5.%6.%7.%8.%9"/>
      <w:lvlJc w:val="left"/>
      <w:pPr>
        <w:ind w:left="1584" w:hanging="1584"/>
      </w:pPr>
    </w:lvl>
  </w:abstractNum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xmlns:w="http://schemas.openxmlformats.org/wordprocessingml/2006/main" w:percent="100"/>
  <w:embedSystemFonts/>
  <w:proofState w:spelling="clean" w:grammar="clean"/>
  <w:stylePaneFormatFilter w:val="0004"/>
  <w:doNotTrackMoves/>
  <w:defaultTabStop xmlns:w="http://schemas.openxmlformats.org/wordprocessingml/2006/main" w:val="720"/>
  <w:autoHyphenation w:val="true"/>
  <w:hyphenationZone xmlns:w="http://schemas.openxmlformats.org/wordprocessingml/2006/main"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 xmlns:w="http://schemas.openxmlformats.org/wordprocessingml/2006/main"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  <w:evenAndOddHeaders xmlns:w="http://schemas.openxmlformats.org/wordprocessingml/2006/main"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uppressAutoHyphens/>
      <w:spacing w:before="120" w:after="120"/>
    </w:pPr>
  </w:style>
  <w:style w:type="paragraph" w:styleId="BodyText">
    <w:name w:val="Body Text"/>
    <w:basedOn w:val="Normal"/>
    <w:link w:val="BodyTextChar"/>
    <w:qFormat/>
    <w:pPr>
      <w:suppressAutoHyphens w:val="0"/>
      <w:spacing w:line="360" w:lineRule="auto"/>
      <w:jc w:val="both"/>
    </w:pPr>
    <w:rPr>
      <w:sz w:val="22"/>
      <w:szCs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uppressAutoHyphens/>
      <w:spacing w:before="36" w:after="36"/>
      <w:jc w:val="left"/>
    </w:pPr>
  </w:style>
  <w:style w:type="paragraph" w:styleId="Title">
    <w:name w:val="Title"/>
    <w:basedOn w:val="Normal"/>
    <w:next w:val="BodyText"/>
    <w:link w:val="TitleChar"/>
    <w:qFormat/>
    <w:pPr>
      <w:spacing w:before="480" w:after="480"/>
      <w:contextualSpacing/>
      <w:jc w:val="center"/>
    </w:pPr>
    <w:rPr>
      <w:b/>
      <w:bCs/>
      <w:color w:val="1B4377"/>
      <w:spacing w:val="5"/>
      <w:kern w:val="28"/>
      <w:sz w:val="56"/>
      <w:szCs w:val="48"/>
    </w:rPr>
  </w:style>
  <w:style w:type="character" w:customStyle="1" w:styleId="TitleChar">
    <w:name w:val="Title Char"/>
    <w:basedOn w:val="DefaultParagraphFont"/>
    <w:link w:val="Title"/>
    <w:qFormat/>
    <w:rPr>
      <w:b/>
      <w:bCs/>
      <w:color w:val="1B4377"/>
      <w:spacing w:val="5"/>
      <w:kern w:val="28"/>
      <w:sz w:val="56"/>
      <w:szCs w:val="48"/>
    </w:rPr>
  </w:style>
  <w:style w:type="paragraph" w:styleId="Subtitle">
    <w:name w:val="Subtitle"/>
    <w:basedOn w:val="Title"/>
    <w:next w:val="BodyText"/>
    <w:link w:val="SubtitleChar"/>
    <w:qFormat/>
    <w:rPr>
      <w:b w:val="0"/>
      <w:bCs w:val="0"/>
      <w:spacing w:val="0"/>
      <w:kern w:val="0"/>
      <w:sz w:val="48"/>
      <w:szCs w:val="28"/>
    </w:rPr>
  </w:style>
  <w:style w:type="character" w:customStyle="1" w:styleId="SubtitleChar">
    <w:name w:val="Subtitle Char"/>
    <w:basedOn w:val="DefaultParagraphFont"/>
    <w:link w:val="Subtitle"/>
    <w:qFormat/>
    <w:rPr>
      <w:color w:val="1B4377"/>
      <w:sz w:val="4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spacing w:after="60"/>
      <w:jc w:val="center"/>
    </w:pPr>
    <w:rPr>
      <w:b/>
      <w:bCs/>
      <w:color w:val="111111"/>
      <w:sz w:val="32"/>
    </w:rPr>
  </w:style>
  <w:style w:type="paragraph" w:styleId="Date">
    <w:name w:val="Date"/>
    <w:basedOn w:val="Normal"/>
    <w:next w:val="BodyText"/>
    <w:qFormat/>
    <w:pPr>
      <w:keepNext/>
      <w:keepLines/>
      <w:spacing w:after="60"/>
      <w:jc w:val="center"/>
    </w:pPr>
    <w:rPr>
      <w:bCs/>
      <w:color w:val="111111"/>
      <w:sz w:val="3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tabs>
        <w:tab w:val="left" w:pos="709"/>
      </w:tabs>
      <w:spacing w:after="0"/>
      <w:ind w:left="709" w:hanging="709"/>
    </w:pPr>
  </w:style>
  <w:style w:type="paragraph" w:styleId="Heading1">
    <w:name w:val="heading 1"/>
    <w:basedOn w:val="Normal"/>
    <w:next w:val="BodyText"/>
    <w:link w:val="Heading1Char"/>
    <w:qFormat/>
    <w:pPr>
      <w:keepNext/>
      <w:keepLines/>
      <w:numPr>
        <w:ilvl w:val="1"/>
        <w:numId w:val="1"/>
      </w:numPr>
      <w:spacing w:before="480" w:after="320"/>
      <w:outlineLvl w:val="0"/>
    </w:pPr>
    <w:rPr>
      <w:b/>
      <w:bCs/>
      <w:color w:val="1B4377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numPr>
        <w:ilvl w:val="2"/>
        <w:numId w:val="1"/>
      </w:numPr>
      <w:spacing w:before="240" w:after="240"/>
      <w:outlineLvl w:val="1"/>
    </w:pPr>
    <w:rPr>
      <w:b/>
      <w:bCs/>
      <w:color w:val="1B4377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200"/>
      <w:ind w:left="862" w:hanging="862"/>
      <w:outlineLvl w:val="2"/>
    </w:pPr>
    <w:rPr>
      <w:b/>
      <w:bCs/>
      <w:color w:val="1B4377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numPr>
        <w:ilvl w:val="4"/>
        <w:numId w:val="1"/>
      </w:numPr>
      <w:spacing w:before="160" w:after="160"/>
      <w:ind w:left="1009" w:hanging="1009"/>
      <w:outlineLvl w:val="3"/>
    </w:pPr>
    <w:rPr>
      <w:b/>
      <w:bCs/>
      <w:iCs/>
      <w:color w:val="1B4377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4"/>
    </w:pPr>
    <w:rPr>
      <w:color w:val="1B4377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5"/>
    </w:pPr>
    <w:rPr>
      <w:i/>
      <w:iCs/>
      <w:color w:val="1B4377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customStyle="1" w:styleId="Heading1Char">
    <w:name w:val="Heading 1 Char"/>
    <w:basedOn w:val="DefaultParagraphFont"/>
    <w:link w:val="Heading1"/>
    <w:qFormat/>
    <w:rPr>
      <w:b/>
      <w:bCs/>
      <w:color w:val="1B4377"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b/>
      <w:bCs/>
      <w:color w:val="1B4377"/>
      <w:sz w:val="28"/>
      <w:szCs w:val="28"/>
    </w:rPr>
  </w:style>
  <w:style w:type="character" w:customStyle="1" w:styleId="Heading3Char">
    <w:name w:val="Heading 3 Char"/>
    <w:basedOn w:val="DefaultParagraphFont"/>
    <w:link w:val="Heading3"/>
    <w:qFormat/>
    <w:rPr>
      <w:b/>
      <w:bCs/>
      <w:color w:val="1B4377"/>
      <w:sz w:val="26"/>
      <w:szCs w:val="26"/>
    </w:rPr>
  </w:style>
  <w:style w:type="character" w:customStyle="1" w:styleId="Heading4Char">
    <w:name w:val="Heading 4 Char"/>
    <w:basedOn w:val="DefaultParagraphFont"/>
    <w:link w:val="Heading4"/>
    <w:qFormat/>
    <w:rPr>
      <w:b/>
      <w:bCs/>
      <w:iCs/>
      <w:color w:val="1B4377"/>
    </w:rPr>
  </w:style>
  <w:style w:type="character" w:customStyle="1" w:styleId="Heading5Char">
    <w:name w:val="Heading 5 Char"/>
    <w:basedOn w:val="DefaultParagraphFont"/>
    <w:link w:val="Heading5"/>
    <w:qFormat/>
    <w:rPr>
      <w:color w:val="1B4377"/>
    </w:rPr>
  </w:style>
  <w:style w:type="character" w:customStyle="1" w:styleId="Heading6Char">
    <w:name w:val="Heading 6 Char"/>
    <w:basedOn w:val="DefaultParagraphFont"/>
    <w:link w:val="Heading6"/>
    <w:qFormat/>
    <w:rPr>
      <w:i/>
      <w:iCs/>
      <w:color w:val="1B4377"/>
    </w:rPr>
  </w:style>
  <w:style w:type="character" w:customStyle="1" w:styleId="Heading7Char">
    <w:name w:val="Heading 7 Char"/>
    <w:basedOn w:val="DefaultParagraphFont"/>
    <w:link w:val="Heading7"/>
    <w:qFormat/>
    <w:rPr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qFormat/>
    <w:rPr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i/>
      <w:iCs/>
      <w:color w:val="404040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qFormat/>
    <w:pPr>
      <w:spacing w:before="0" w:after="0"/>
      <w:jc w:val="left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rPr>
      <w:b/>
      <w:bCs/>
      <w:color w:val="111111"/>
      <w:sz w:val="20"/>
      <w:szCs w:val="20"/>
    </w:rPr>
  </w:style>
  <w:style w:type="paragraph" w:customStyle="1" w:styleId="TableCaption">
    <w:name w:val="Table Caption"/>
    <w:basedOn w:val="Caption"/>
    <w:qFormat/>
    <w:pPr>
      <w:keepNext/>
      <w:spacing w:before="240" w:after="240"/>
      <w:jc w:val="center"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Figure"/>
    <w:qFormat/>
    <w:pPr>
      <w:keepNext/>
      <w:spacing w:before="240" w:after="240"/>
    </w:pPr>
  </w:style>
  <w:style w:type="character" w:customStyle="1" w:styleId="BodyTextChar">
    <w:name w:val="Body Text Char"/>
    <w:basedOn w:val="DefaultParagraphFont"/>
    <w:link w:val="BodyText"/>
    <w:qFormat/>
    <w:rPr>
      <w:sz w:val="22"/>
      <w:szCs w:val="22"/>
    </w:rPr>
  </w:style>
  <w:style w:type="character" w:customStyle="1" w:styleId="VerbatimChar">
    <w:name w:val="Verbatim Char"/>
    <w:basedOn w:val="BodyTextChar"/>
    <w:qFormat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numPr>
        <w:ilvl w:val="0"/>
        <w:numId w:val="0"/>
      </w:numPr>
      <w:spacing w:before="0" w:after="240"/>
      <w:jc w:val="center"/>
      <w:outlineLvl w:val="9"/>
    </w:pPr>
  </w:style>
  <w:style w:type="paragraph" w:customStyle="1" w:styleId="TableCaptionTitle">
    <w:name w:val="Table Caption Title"/>
    <w:basedOn w:val="TableCaption"/>
    <w:qFormat/>
    <w:pPr>
      <w:keepNext/>
      <w:spacing w:after="0"/>
    </w:pPr>
  </w:style>
  <w:style w:type="paragraph" w:customStyle="1" w:styleId="TableCaptionSubtitle">
    <w:name w:val="Table Caption Subtitle"/>
    <w:basedOn w:val="TableCaption"/>
    <w:qFormat/>
    <w:pPr>
      <w:spacing w:before="0"/>
    </w:pPr>
    <w:rPr>
      <w:b w:val="0"/>
      <w:bCs w:val="0"/>
      <w:color w:val="555555"/>
      <w:sz w:val="18"/>
      <w:szCs w:val="18"/>
    </w:rPr>
  </w:style>
  <w:style w:type="paragraph" w:customStyle="1" w:styleId="ImageCaptionTitle">
    <w:name w:val="Image Caption Title"/>
    <w:basedOn w:val="ImageCaption"/>
    <w:qFormat/>
    <w:pPr>
      <w:keepNext/>
      <w:spacing w:after="0"/>
    </w:pPr>
  </w:style>
  <w:style w:type="paragraph" w:customStyle="1" w:styleId="ImageCaptionSubtitle">
    <w:name w:val="Image Caption Subtitle"/>
    <w:basedOn w:val="ImageCaption"/>
    <w:qFormat/>
    <w:pPr>
      <w:spacing w:before="0"/>
    </w:pPr>
    <w:rPr>
      <w:b w:val="0"/>
      <w:bCs w:val="0"/>
      <w:color w:val="555555"/>
      <w:sz w:val="18"/>
      <w:szCs w:val="18"/>
    </w:rPr>
  </w:style>
  <w:style w:type="paragraph" w:styleId="Footer">
    <w:name w:val="footer"/>
    <w:basedOn w:val="Normal"/>
    <w:uiPriority w:val="99"/>
    <w:unhideWhenUsed/>
    <w:qFormat/>
    <w:pPr>
      <w:spacing w:before="0" w:after="0"/>
      <w:jc w:val="center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80"/>
        <w:tab w:val="right" w:leader="dot" w:pos="9056"/>
      </w:tabs>
      <w:spacing w:before="40" w:after="40"/>
    </w:pPr>
    <w:rPr>
      <w:b/>
      <w:noProof/>
      <w:sz w:val="22"/>
    </w:rPr>
  </w:style>
  <w:style w:type="paragraph" w:styleId="TOC2">
    <w:name w:val="toc 2"/>
    <w:basedOn w:val="TOC1"/>
    <w:next w:val="Normal"/>
    <w:uiPriority w:val="39"/>
    <w:unhideWhenUsed/>
    <w:qFormat/>
    <w:pPr>
      <w:ind w:left="238"/>
    </w:pPr>
    <w:rPr>
      <w:b w:val="0"/>
      <w:sz w:val="20"/>
    </w:rPr>
  </w:style>
  <w:style w:type="paragraph" w:styleId="TOC3">
    <w:name w:val="toc 3"/>
    <w:basedOn w:val="TOC1"/>
    <w:next w:val="Normal"/>
    <w:uiPriority w:val="39"/>
    <w:unhideWhenUsed/>
    <w:qFormat/>
    <w:pPr>
      <w:ind w:left="482"/>
    </w:pPr>
    <w:rPr>
      <w:b w:val="0"/>
      <w:sz w:val="20"/>
    </w:rPr>
  </w:style>
  <w:style w:type="paragraph" w:styleId="TOC4">
    <w:name w:val="toc 4"/>
    <w:basedOn w:val="TOC1"/>
    <w:next w:val="Normal"/>
    <w:uiPriority w:val="39"/>
    <w:unhideWhenUsed/>
    <w:qFormat/>
    <w:pPr>
      <w:ind w:left="726"/>
    </w:pPr>
    <w:rPr>
      <w:b w:val="0"/>
      <w:sz w:val="20"/>
    </w:rPr>
  </w:style>
  <w:style w:type="paragraph" w:styleId="TOC5">
    <w:name w:val="toc 5"/>
    <w:basedOn w:val="TOC1"/>
    <w:next w:val="Normal"/>
    <w:uiPriority w:val="39"/>
    <w:unhideWhenUsed/>
    <w:qFormat/>
    <w:pPr>
      <w:ind w:left="970"/>
    </w:pPr>
    <w:rPr>
      <w:b w:val="0"/>
      <w:sz w:val="20"/>
    </w:rPr>
  </w:style>
  <w:style w:type="paragraph" w:styleId="TOC6">
    <w:name w:val="toc 6"/>
    <w:basedOn w:val="TOC1"/>
    <w:next w:val="Normal"/>
    <w:uiPriority w:val="39"/>
    <w:unhideWhenUsed/>
    <w:qFormat/>
    <w:pPr>
      <w:ind w:left="1214"/>
    </w:pPr>
    <w:rPr>
      <w:b w:val="0"/>
      <w:sz w:val="20"/>
    </w:rPr>
  </w:style>
  <w:style w:type="paragraph" w:styleId="TOC7">
    <w:name w:val="toc 7"/>
    <w:basedOn w:val="TOC1"/>
    <w:next w:val="Normal"/>
    <w:uiPriority w:val="39"/>
    <w:unhideWhenUsed/>
    <w:qFormat/>
    <w:pPr>
      <w:ind w:left="1458"/>
    </w:pPr>
    <w:rPr>
      <w:b w:val="0"/>
      <w:sz w:val="20"/>
    </w:rPr>
  </w:style>
  <w:style w:type="paragraph" w:styleId="TOC8">
    <w:name w:val="toc 8"/>
    <w:basedOn w:val="TOC1"/>
    <w:next w:val="Normal"/>
    <w:uiPriority w:val="39"/>
    <w:unhideWhenUsed/>
    <w:qFormat/>
    <w:pPr>
      <w:ind w:left="1702"/>
    </w:pPr>
    <w:rPr>
      <w:b w:val="0"/>
      <w:sz w:val="20"/>
    </w:rPr>
  </w:style>
  <w:style w:type="paragraph" w:styleId="TOC9">
    <w:name w:val="toc 9"/>
    <w:basedOn w:val="TOC1"/>
    <w:next w:val="Normal"/>
    <w:uiPriority w:val="39"/>
    <w:unhideWhenUsed/>
    <w:qFormat/>
    <w:pPr>
      <w:ind w:left="1946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30" Type="http://schemas.openxmlformats.org/officeDocument/2006/relationships/hyperlink" Target="http://example.com" TargetMode="External"/>
<Relationship Id="rId9" Type="http://schemas.openxmlformats.org/officeDocument/2006/relationships/footer" Target="footer1.xml"/>
</Relationships>

</file>

<file path=word/_rels/footnotes.xml.rels><?xml version="1.0" encoding="UTF-8" standalone="yes"?>

<Relationships  xmlns="http://schemas.openxmlformats.org/package/2006/relationships">
<Relationship Id="rId30" Type="http://schemas.openxmlformats.org/officeDocument/2006/relationships/hyperlink" Target="http://example.com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Title</dc:title>
  <dc:creator>Author</dc:creator>
  <cp:keywords/>
  <dcterms:created xsi:type="dcterms:W3CDTF">2017-12-27T05:22:50Z</dcterms:created>
  <dcterms:modified xsi:type="dcterms:W3CDTF">2026-09-19T13:01:41Z</dcterms:modified>
  <cp:lastModifiedBy>julien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