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 </w:t>
            </w:r>
          </w:p>
        </w:tc>
      </w:tr>
      <w:tr>
        <w:trPr>
          <w:trHeight w:val="902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Total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Adjuvant seul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Péri-opératoire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br/>
            </w: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bottom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true"/>
                <w:u w:val="none"/>
                <w:strike w:val="false"/>
                <w:sz w:val="18"/>
                <w:szCs w:val="18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Pourcentage d'adaptation, n (%)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86 (87,8)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41 (82,0)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45 (93,8)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</w:pP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vertAlign w:val="superscript"/>
                <w:sz w:val="14"/>
                <w:szCs w:val="14"/>
                <w:color w:val="333333"/>
              </w:rPr>
              <w:t xml:space="preserve">1</w:t>
            </w:r>
            <w:r>
              <w:rPr>
                <w:rFonts w:ascii="Aptos" w:hAnsi="Aptos" w:eastAsia="Aptos" w:cs="Aptos"/>
                <w:i w:val="false"/>
                <w:b w:val="false"/>
                <w:u w:val="none"/>
                <w:strike w:val="false"/>
                <w:sz w:val="14"/>
                <w:szCs w:val="14"/>
                <w:color w:val="333333"/>
              </w:rPr>
              <w:t xml:space="preserve">Adaptation maximale parmi les trois molécules, à la dernière cure.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Aptos">
    <w:altName w:val="Calibri"/>
    <w:charset w:val="00"/>
    <w:family w:val="swiss"/>
    <w:pitch w:val="variable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2026-09-19T13:01:36Z</dcterms:modified>
  <cp:category/>
</cp:coreProperties>
</file>