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(n=53, 51,5%)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48,5%)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toutes causes, n (%)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46 (44,7)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21 (42,0)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Premier évènement,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56 (54,4)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 (47,2)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31 (62,0)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Décès sans récidive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 (9,4)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Censure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39 (37,9)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23 (43,4)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16 (32,0)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2026-09-13T23:00:49Z</dcterms:modified>
  <cp:category/>
</cp:coreProperties>
</file>