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Résécabilité,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Résécable d'emblée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 (63,3)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Borderline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Localement avancé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(17,3)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(35,4)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Durée d'hospitalisation, jours,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16,5 (12,0—21,0)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 (61,2)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(56,9)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(66,0)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III-IV-V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 (14,3)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 (71,6)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(70,6)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(72,7)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(28,4)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Type de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Aucune,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(50,9)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(28,2)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Métastatique,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(37,7)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les critères du National Comprehensive Cancer Network (NCCN).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classification de Clavien-Dindo.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Une récidive à la fois locale et métastatique est comptée dans les deux catégories.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2026-09-13T23:01:00Z</dcterms:modified>
  <cp:category/>
</cp:coreProperties>
</file>