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gridSpan w:val="3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2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902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Variable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DM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(N=100)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Adjuvant seul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Péri-opératoire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br/>
            </w: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(n=50, 50,0%)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Dernière dose reçue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5-FU,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80,0 (75,0—100,0)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Irinotécan,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(50,0—80,0)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70,0 (50,0—77,5)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0,54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Oxaliplatine, %, médiane (IQR)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25,0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0,0 (0,0—75,0)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50,0 (0,0—70,0)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0,36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doses, n (%)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95 (95,0)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(94,0)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48 (96,0)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&gt;0,99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Pourcentage d'adaptation,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0,25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Pas d'adaptation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(4,1)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(6,0)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(8,2)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86 (87,8)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41 (82,0)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45 (93,8)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C4,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0,005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 (8,5)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31 (33,0)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22 (46,8)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9 (19,1)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57 (60,6)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21 (44,7)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36 (76,6)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C8,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0/2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0,084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 (4,8)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(4,9)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(4,5)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(20,6)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5 (12,2)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(36,4)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47 (74,6)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34 (82,9)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13 (59,1)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Adaptation de dose à C12, n (%)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0,32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Non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1 (3,2)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&lt;=20%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8 (22,9)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 (19,4)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(50,0)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FA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&gt;20%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26 (74,3)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 (77,4)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 (50,0)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Adaptation maximale parmi les trois molécules, à la dernière cure.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2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96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3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65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4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Cure atteinte par 35 patients.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Patients ayant reçu au moins une cure de chimiothérapie d'induction ou adjuvante (100 sur 103 patients inclus). IQR : intervalle interquartile ; DM : données manquantes par groupe.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B2204860-E876-4D06-B6DD-8343598DC4E5}"/>
    <w:embedBold xmlns:w="http://schemas.openxmlformats.org/wordprocessingml/2006/main" xmlns:r="http://schemas.openxmlformats.org/officeDocument/2006/relationships" r:id="rId2" w:fontKey="{DE2F770D-5329-4AC3-AAF2-1AB6845D0A55}"/>
    <w:embedItalic xmlns:w="http://schemas.openxmlformats.org/wordprocessingml/2006/main" xmlns:r="http://schemas.openxmlformats.org/officeDocument/2006/relationships" r:id="rId3" w:fontKey="{E648BD66-42A3-419E-957E-B6FB872B6035}"/>
    <w:embedBoldItalic xmlns:w="http://schemas.openxmlformats.org/wordprocessingml/2006/main" xmlns:r="http://schemas.openxmlformats.org/officeDocument/2006/relationships" r:id="rId4" w:fontKey="{ACEA812C-FF5F-45B0-959F-CD620D0EAACD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2026-09-11T16:34:03Z</dcterms:modified>
  <cp:category/>
</cp:coreProperties>
</file>