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DM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Total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(N=103)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Adjuvant seul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(n=53, 51,5%)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Péri-opératoire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(n=50, 48,5%)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Résécabilité,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3/2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&lt;0,001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Résécable d'emblée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62 (63,3)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50 (100,0)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 (25,0)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Borderline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19 (19,4)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19 (39,6)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Localement avancé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17 (17,3)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17 (35,4)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Durée d'hospitalisation, jours,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16,0 (12,0—23,0)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16,5 (12,0—21,0)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15,0 (12,0—23,0)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Complication post-opératoire,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2/3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0,68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Pas de complication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60 (61,2)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29 (56,9)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31 (66,0)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 (12,2)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 (11,8)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 (12,8)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 (12,2)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 (15,7)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 (8,5)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III-IV-V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14 (14,3)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 (15,7)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 (12,8)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Résection chirurgicale,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2/6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0,82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68 (71,6)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36 (70,6)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32 (72,7)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27 (28,4)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15 (29,4)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 (27,3)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Type de récidive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Aucune,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46 (44,7)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27 (50,9)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19 (38,0)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Locale,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29 (28,2)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13 (24,5)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16 (32,0)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0,40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Métastatique,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3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39 (37,9)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20 (37,7)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19 (38,0)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0,98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1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Selon les critères du National Comprehensive Cancer Network (NCCN).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2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Selon la classification de Clavien-Dindo.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3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Une récidive à la fois locale et métastatique est comptée dans les deux catégories.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IQR : intervalle interquartile ; DM : données manquantes par groupe.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xmlns:w="http://schemas.openxmlformats.org/wordprocessingml/2006/main" xmlns:r="http://schemas.openxmlformats.org/officeDocument/2006/relationships" w:name="Luciole">
    <w:altName w:val="Aptos, Calibri"/>
    <w:embedRegular xmlns:w="http://schemas.openxmlformats.org/wordprocessingml/2006/main" xmlns:r="http://schemas.openxmlformats.org/officeDocument/2006/relationships" r:id="rId1" w:fontKey="{86929DFF-EF0C-4EC2-8A07-593C90759777}"/>
    <w:embedBold xmlns:w="http://schemas.openxmlformats.org/wordprocessingml/2006/main" xmlns:r="http://schemas.openxmlformats.org/officeDocument/2006/relationships" r:id="rId2" w:fontKey="{089715F0-3316-4B6E-B699-D231EDDE4FE4}"/>
    <w:embedItalic xmlns:w="http://schemas.openxmlformats.org/wordprocessingml/2006/main" xmlns:r="http://schemas.openxmlformats.org/officeDocument/2006/relationships" r:id="rId3" w:fontKey="{09538770-981A-4119-AEBA-C3AF1C165383}"/>
    <w:embedBoldItalic xmlns:w="http://schemas.openxmlformats.org/wordprocessingml/2006/main" xmlns:r="http://schemas.openxmlformats.org/officeDocument/2006/relationships" r:id="rId4" w:fontKey="{D7DEE5F8-16C9-4BBC-BA66-E0B9AF1E7320}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  <w:embedTrueTypeFonts xmlns:w="http://schemas.openxmlformats.org/wordprocessingml/2006/mai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_rels/fontTable.xml.rels><?xml version="1.0" encoding="UTF-8" standalone="yes"?>
<Relationships xmlns="http://schemas.openxmlformats.org/package/2006/relationships">
  <Relationship xmlns="http://schemas.openxmlformats.org/package/2006/relationships" Id="rId1" Type="http://schemas.openxmlformats.org/officeDocument/2006/relationships/font" Target="fonts/font1.odttf"/>
  <Relationship xmlns="http://schemas.openxmlformats.org/package/2006/relationships" Id="rId2" Type="http://schemas.openxmlformats.org/officeDocument/2006/relationships/font" Target="fonts/font2.odttf"/>
  <Relationship xmlns="http://schemas.openxmlformats.org/package/2006/relationships" Id="rId3" Type="http://schemas.openxmlformats.org/officeDocument/2006/relationships/font" Target="fonts/font3.odttf"/>
  <Relationship xmlns="http://schemas.openxmlformats.org/package/2006/relationships" Id="rId4" Type="http://schemas.openxmlformats.org/officeDocument/2006/relationships/font" Target="fonts/font4.odttf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2026-09-11T16:34:05Z</dcterms:modified>
  <cp:category/>
</cp:coreProperties>
</file>