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&lt;w:tbl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xmlns:w14="http://schemas.microsoft.com/office/word/2010/wordml"&gt;&lt;w:tblPr&gt;&lt;w:tblCellMar&gt;&lt;w:top w:w="0" w:type="dxa"&gt;&lt;/w:top&gt;&lt;w:bottom w:w="0" w:type="dxa"&gt;&lt;/w:bottom&gt;&lt;w:start w:w="60" w:type="dxa"&gt;&lt;/w:start&gt;&lt;w:end w:w="60" w:type="dxa"&gt;&lt;/w:end&gt;&lt;/w:tblCellMar&gt;&lt;w:tblW w:type="auto" w:w="0"&gt;&lt;/w:tblW&gt;&lt;w:tblLook w:firstRow="0" w:lastRow="0" w:firstColumn="0" w:lastColumn="0" w:noHBand="0" w:noVBand="0"&gt;&lt;/w:tblLook&gt;&lt;w:jc w:val="center"&gt;&lt;/w:jc&gt;&lt;/w:tblPr&gt;&lt;w:tr&gt;&lt;w:trPr&gt;&lt;w:cantSplit&gt;&lt;/w:cantSplit&gt;&lt;w:tblHeader&gt;&lt;/w:tblHeader&gt;&lt;/w:trPr&gt;&lt;w:tc&gt;&lt;w:tcPr&gt;&lt;w:tcBorders&gt;&lt;w:top w:val="single" w:sz="16" w:space="0" w:color="D3D3D3"&gt;&lt;/w:top&gt;&lt;w:bottom w:val="single" w:sz="16" w:space="0" w:color="333333"&gt;&lt;/w:bottom&gt;&lt;w:start w:val="single" w:space="0" w:color="D3D3D3"&gt;&lt;/w:start&gt;&lt;/w:tcBorders&gt;&lt;/w:tcPr&gt;&lt;w:p&gt;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&lt;w:b w:val="true"/&gt;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xml:space="preserve"&gt;Variable&lt;/w:t&gt;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w:sz="16" w:space="0" w:color="D3D3D3"&gt;&lt;/w:top&gt;&lt;w:bottom w:val="single" w:sz="16" w:space="0" w:color="333333"&gt;&lt;/w:bottom&gt;&lt;w:end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xml:space="default"&gt;Centre,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CHU Nantes&lt;/w:t&gt;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xml:space="default"&gt;25 (48,1)&lt;/w:t&gt;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CHD Vendée&lt;/w:t&gt;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 (51,9)&lt;/w:t&gt;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xml:space="default"&gt;Sexe,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Femme&lt;/w:t&gt;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xml:space="default"&gt;21 (40,4)&lt;/w:t&gt;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Homme&lt;/w:t&gt;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xml:space="default"&gt;31 (59,6)&lt;/w:t&gt;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xml:space="default"&gt;Âge au diagnostic, années,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xml:space="default"&gt;66,4 (58,4—72,2)&lt;/w:t&gt;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xml:space="default"&gt;Douleur au diagnostic,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xml:space="default"&gt;33 (63,5)&lt;/w:t&gt;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xml:space="default"&gt;19 (36,5)&lt;/w:t&gt;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xml:space="default"&gt;Type histologique,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Adénocarcinome&lt;/w:t&gt;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 (100,0)&lt;/w:t&gt;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Autre&lt;/w:t&gt;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xml:space="default"&gt;Localisation tumorale,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Tête&lt;/w:t&gt;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xml:space="default"&gt;41 (80,4)&lt;/w:t&gt;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Corps&lt;/w:t&gt;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 (9,8)&lt;/w:t&gt;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Queue&lt;/w:t&gt;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 (7,8)&lt;/w:t&gt;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xml:space="default"&gt;Stade TNM,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4&lt;/w:t&gt;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(50,0)&lt;/w:t&gt;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IIb&lt;/w:t&gt;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(50,0)&lt;/w:t&gt;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xml:space="default"&gt;Stade T,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xml:space="default"&gt;10 (20,0)&lt;/w:t&gt;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xml:space="default"&gt;32 (64,0)&lt;/w:t&gt;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 (12,0)&lt;/w:t&gt;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4&lt;/w:t&gt;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 (4,0)&lt;/w:t&gt;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xml:space="default"&gt;Stade N,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xml:space="default"&gt;11 (22,0)&lt;/w:t&gt;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xml:space="default"&gt;28 (56,0)&lt;/w:t&gt;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xml:space="default"&gt;11 (22,0)&lt;/w:t&gt;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xml:space="default"&gt;Stade M,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xml:space="default"&gt;48 (98,0)&lt;/w:t&gt;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xml:space="default"&gt;Résécabilité,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Résécable d'emblée&lt;/w:t&gt;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xml:space="default"&gt;36 (70,6)&lt;/w:t&gt;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Borderline&lt;/w:t&gt;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xml:space="default"&gt;10 (19,6)&lt;/w:t&gt;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Localement avancé&lt;/w:t&gt;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 (7,8)&lt;/w:t&gt;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xml:space="default"&gt;Résection chirurgicale,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R0&lt;/w:t&gt;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xml:space="default"&gt;39 (75,0)&lt;/w:t&gt;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R1&lt;/w:t&gt;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xml:space="default"&gt;13 (25,0)&lt;/w:t&gt;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R2&lt;/w:t&gt;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xml:space="default"&gt;Durée d'hospitalisation, jours,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xml:space="default"&gt;20,0 (14,0—27,0)&lt;/w:t&gt;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xml:space="default"&gt;Complications post-opératoires,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xml:space="default"&gt;22 (44,0)&lt;/w:t&gt;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xml:space="default"&gt;28 (56,0)&lt;/w:t&gt;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xml:space="default"&gt;PS au diagnostic,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xml:space="default"&gt;24 (61,5)&lt;/w:t&gt;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xml:space="default"&gt;13 (33,3)&lt;/w:t&gt;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 (5,1)&lt;/w:t&gt;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xml:space="default"&gt;PS avant chimio d'induction,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xml:space="default"&gt;12 (50,0)&lt;/w:t&gt;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xml:space="default"&gt;10 (41,7)&lt;/w:t&gt;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 (8,3)&lt;/w:t&gt;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xml:space="default"&gt;28&lt;/w:t&gt;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xml:space="default"&gt;PS pré-opératoire,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xml:space="default"&gt;25 (69,4)&lt;/w:t&gt;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xml:space="default"&gt;11 (30,6)&lt;/w:t&gt;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xml:space="default"&gt;16&lt;/w:t&gt;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xml:space="default"&gt;PS avant chimio adjuvante,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xml:space="default"&gt;19 (43,2)&lt;/w:t&gt;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xml:space="default"&gt;22 (50,0)&lt;/w:t&gt;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 (6,8)&lt;/w:t&gt;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xml:space="default"&gt;8&lt;/w:t&gt;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xml:space="default"&gt;CA 19-9 au diagnostic, UI/L,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xml:space="default"&gt;76,0 (19,0—107,0)&lt;/w:t&gt;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xml:space="default"&gt;CA 19-9 pré-induction, UI/L,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xml:space="default"&gt;103,0 (36,0—274,0)&lt;/w:t&gt;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xml:space="default"&gt;CA 19-9 pré-opératoire, UI/L,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xml:space="default"&gt;60,5 (37,0—89,0)&lt;/w:t&gt;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xml:space="default"&gt;38&lt;/w:t&gt;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xml:space="default"&gt;CA 19-9 post-opératoire, UI/L,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xml:space="default"&gt;21,0 (12,0—42,0)&lt;/w:t&gt;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xml:space="default"&gt;CA 19-9 avant chimio adjuvante, UI/L,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xml:space="default"&gt;18,5 (7,0—50,0)&lt;/w:t&gt;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xml:space="default"&gt;34&lt;/w:t&gt;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xml:space="default"&gt;Chimiothérapie d'induction,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xml:space="default"&gt;33 (63,5)&lt;/w:t&gt;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xml:space="default"&gt;19 (36,5)&lt;/w:t&gt;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nombre de cures,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xml:space="default"&gt;0,0 (0,0—5,5)&lt;/w:t&gt;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bolus 5-FU,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Sans bolus&lt;/w:t&gt;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xml:space="default"&gt;50 (96,2)&lt;/w:t&gt;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Bolus&lt;/w:t&gt;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 (3,8)&lt;/w:t&gt;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adaptation de doses,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xml:space="default"&gt;37 (71,2)&lt;/w:t&gt;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xml:space="default"&gt;15 (28,8)&lt;/w:t&gt;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pourcentage d'adaptation,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Pas d'adaptation&lt;/w:t&gt;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xml:space="default"&gt;36 (69,2)&lt;/w:t&gt;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&amp;lt;=20%&lt;/w:t&gt;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 (5,8)&lt;/w:t&gt;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&amp;gt;20%&lt;/w:t&gt;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xml:space="default"&gt;13 (25,0)&lt;/w:t&gt;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adaptation de dose avant C4,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adaptation de dose avant C8,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adaptation de dose avant C12,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dose 5-FU, %,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xml:space="default"&gt;0,0 (0,0—100,0)&lt;/w:t&gt;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dose irinotécan, %,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xml:space="default"&gt;0,0 (0,0—55,0)&lt;/w:t&gt;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dose oxaliplatine, %,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xml:space="default"&gt;0,0 (0,0—25,0)&lt;/w:t&gt;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EI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xml:space="default"&gt;48 (92,3)&lt;/w:t&gt;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 (7,7)&lt;/w:t&gt;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asthénie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xml:space="default"&gt;51 (98,1)&lt;/w:t&gt;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(1,9)&lt;/w:t&gt;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diarrhée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 (100,0)&lt;/w:t&gt;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vomissement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xml:space="default"&gt;50 (96,2)&lt;/w:t&gt;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 (3,8)&lt;/w:t&gt;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neutropénie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 (100,0)&lt;/w:t&gt;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neurotoxicité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xml:space="default"&gt;49 (94,2)&lt;/w:t&gt;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 (5,8)&lt;/w:t&gt;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xml:space="default"&gt;Induction : cytolyse/cholestase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xml:space="default"&gt;50 (98,0)&lt;/w:t&gt;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xml:space="default"&gt;Chimiothérapie adjuvante,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 (9,8)&lt;/w:t&gt;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xml:space="default"&gt;46 (90,2)&lt;/w:t&gt;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nombre de cures post-op,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xml:space="default"&gt;6,0 (4,0—12,0)&lt;/w:t&gt;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bolus 5-FU,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Sans bolus&lt;/w:t&gt;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xml:space="default"&gt;48 (96,0)&lt;/w:t&gt;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Bolus&lt;/w:t&gt;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 (4,0)&lt;/w:t&gt;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pourcentage d'adaptation,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xml:space="default"&gt;7 (14,0)&lt;/w:t&gt;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&amp;lt;=20%&lt;/w:t&gt;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xml:space="default"&gt;43 (86,0)&lt;/w:t&gt;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&amp;gt;20%&lt;/w:t&gt;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adaptation de dose avant C4,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adaptation de dose avant C8,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adaptation de dose avant C12,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dose 5-FU, %,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xml:space="default"&gt;77,0 (70,0—100,0)&lt;/w:t&gt;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dose irinotécan, %,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xml:space="default"&gt;64,0 (0,0—80,0)&lt;/w:t&gt;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dose oxaliplatine, %,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xml:space="default"&gt;0,0 (0,0—75,0)&lt;/w:t&gt;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EI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xml:space="default"&gt;39 (78,0)&lt;/w:t&gt;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xml:space="default"&gt;11 (22,0)&lt;/w:t&gt;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asthénie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xml:space="default"&gt;45 (91,8)&lt;/w:t&gt;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 (8,2)&lt;/w:t&gt;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diarrhée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xml:space="default"&gt;43 (86,0)&lt;/w:t&gt;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 (12,0)&lt;/w:t&gt;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nausées/vomissement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xml:space="default"&gt;44 (88,0)&lt;/w:t&gt;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 (12,0)&lt;/w:t&gt;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neutropénie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xml:space="default"&gt;50 (100,0)&lt;/w:t&gt;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neurotoxicité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xml:space="default"&gt;47 (94,0)&lt;/w:t&gt;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 (6,0)&lt;/w:t&gt;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xml:space="default"&gt;Adjuvant : cytolyse/cholestase grade 3-4,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xml:space="default"&gt;49 (100,0)&lt;/w:t&gt;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xml:space="default"&gt;0&lt;/w:t&gt;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xml:space="default"&gt;3&lt;/w:t&gt;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xml:space="default"&gt;Type de progression,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Locale&lt;/w:t&gt;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xml:space="default"&gt;11 (40,7)&lt;/w:t&gt;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Métastatique&lt;/w:t&gt;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xml:space="default"&gt;12 (44,4)&lt;/w:t&gt;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Les deux&lt;/w:t&gt;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xml:space="default"&gt;4 (14,8)&lt;/w:t&gt;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xml:space="default"&gt;25&lt;/w:t&gt;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xml:space="default"&gt;Progression locale,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xml:space="default"&gt;20 (80,0)&lt;/w:t&gt;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 (20,0)&lt;/w:t&gt;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xml:space="default"&gt;Progression ganglionnaire,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xml:space="default"&gt;19 (76,0)&lt;/w:t&gt;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xml:space="default"&gt;6 (24,0)&lt;/w:t&gt;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xml:space="default"&gt;Progression hépatique,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xml:space="default"&gt;13 (52,0)&lt;/w:t&gt;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xml:space="default"&gt;12 (48,0)&lt;/w:t&gt;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xml:space="default"&gt;Progression péritonéale,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xml:space="default"&gt;17 (68,0)&lt;/w:t&gt;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xml:space="default"&gt;8 (32,0)&lt;/w:t&gt;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xml:space="default"&gt;Progression cérébrale,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xml:space="default"&gt;24 (96,0)&lt;/w:t&gt;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xml:space="default"&gt;1 (4,0)&lt;/w:t&gt;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xml:space="default"&gt;Progression pulmonaire, n (%)&lt;/w:t&gt;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xml:space="default"/&gt;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Non&lt;/w:t&gt;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xml:space="default"&gt;20 (80,0)&lt;/w:t&gt;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Oui&lt;/w:t&gt;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 (20,0)&lt;/w:t&gt;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xml:space="default"&gt;27&lt;/w:t&gt;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xml:space="default"&gt;Survie sans progression, jours, médiane (IQR)&lt;/w:t&gt;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xml:space="default"&gt;NA (NA—NA)&lt;/w:t&gt;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</w:t>
      </w:r>
      <w:r>
        <w:br/>
      </w:r>
      <w:r>
        <w:rPr>
          <w:rStyle w:val="VerbatimChar"/>
        </w:rPr>
        <w:t xml:space="preserve">&lt;w:tr&gt;&lt;w:trPr&gt;&lt;w:cantSplit&gt;&lt;/w:cantSplit&gt;&lt;/w:trPr&gt;&lt;w:tc&gt;&lt;w:tcPr&gt;&lt;w:tcBorders&gt;&lt;w:top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w:val="start"/&gt;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    Donnée manquante&lt;/w:t&gt;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&lt;/w:p&gt;&lt;/w:tc&gt;&lt;w:tc&gt;&lt;w:tcPr&gt;&lt;w:tcBorders&gt;&lt;w:top w:val="single" w:space="0" w:color="D3D3D3"&gt;&lt;/w:top&gt;&lt;w:bottom w:val="single" w:space="0" w:color="D3D3D3"&gt;&lt;/w:bottom&gt;&lt;w:start w:val="single" w:space="0" w:color="D3D3D3"&gt;&lt;/w:start&gt;&lt;w:end w:val="single" w:space="0" w:color="D3D3D3"&gt;&lt;/w:end&gt;&lt;/w:tcBorders&gt;&lt;/w:tcPr&gt;&lt;w:p&gt;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  &lt;w:jc w:val="center"/&gt;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xml:space="default"&gt;52&lt;/w:t&gt;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&lt;/w:p&gt;&lt;/w:tc&gt;&lt;/w:tr&gt;&lt;w:tr&gt;&lt;w:trPr&gt;&lt;w:cantSplit&gt;&lt;/w:cantSplit&gt;&lt;/w:trPr&gt;&lt;w:tc&gt;&lt;w:tcPr&gt;&lt;w:gridSpan w:val="2"/&gt;&lt;/w:tcPr&gt;&lt;w:p&gt;</w:t>
      </w:r>
      <w:r>
        <w:br/>
      </w:r>
      <w:r>
        <w:rPr>
          <w:rStyle w:val="VerbatimChar"/>
        </w:rPr>
        <w:t xml:space="preserve">  &lt;w:pPr&gt;</w:t>
      </w:r>
      <w:r>
        <w:br/>
      </w:r>
      <w:r>
        <w:rPr>
          <w:rStyle w:val="VerbatimChar"/>
        </w:rPr>
        <w:t xml:space="preserve">    &lt;w:spacing w:before="0" w:after="60"/&gt;</w:t>
      </w:r>
      <w:r>
        <w:br/>
      </w:r>
      <w:r>
        <w:rPr>
          <w:rStyle w:val="VerbatimChar"/>
        </w:rPr>
        <w:t xml:space="preserve">    &lt;w:keepNext/&gt;</w:t>
      </w:r>
      <w:r>
        <w:br/>
      </w:r>
      <w:r>
        <w:rPr>
          <w:rStyle w:val="VerbatimChar"/>
        </w:rPr>
        <w:t xml:space="preserve">  &lt;/w:pPr&gt;</w:t>
      </w:r>
      <w:r>
        <w:br/>
      </w:r>
      <w:r>
        <w:rPr>
          <w:rStyle w:val="VerbatimChar"/>
        </w:rPr>
        <w:t xml:space="preserve">  &lt;w:r&gt;</w:t>
      </w:r>
      <w:r>
        <w:br/>
      </w:r>
      <w:r>
        <w:rPr>
          <w:rStyle w:val="VerbatimChar"/>
        </w:rPr>
        <w:t xml:space="preserve">    &lt;w:rPr&gt;</w:t>
      </w:r>
      <w:r>
        <w:br/>
      </w:r>
      <w:r>
        <w:rPr>
          <w:rStyle w:val="VerbatimChar"/>
        </w:rPr>
        <w:t xml:space="preserve">      &lt;w:rFonts w:ascii="Calibri" w:hAnsi="Calibri"/&gt;</w:t>
      </w:r>
      <w:r>
        <w:br/>
      </w:r>
      <w:r>
        <w:rPr>
          <w:rStyle w:val="VerbatimChar"/>
        </w:rPr>
        <w:t xml:space="preserve">      &lt;w:sz w:val="20"/&gt;</w:t>
      </w:r>
      <w:r>
        <w:br/>
      </w:r>
      <w:r>
        <w:rPr>
          <w:rStyle w:val="VerbatimChar"/>
        </w:rPr>
        <w:t xml:space="preserve">    &lt;/w:rPr&gt;</w:t>
      </w:r>
      <w:r>
        <w:br/>
      </w:r>
      <w:r>
        <w:rPr>
          <w:rStyle w:val="VerbatimChar"/>
        </w:rPr>
        <w:t xml:space="preserve">    &lt;w:t xml:space="default"&gt;IQR : intervalle interquartile.&lt;/w:t&gt;</w:t>
      </w:r>
      <w:r>
        <w:br/>
      </w:r>
      <w:r>
        <w:rPr>
          <w:rStyle w:val="VerbatimChar"/>
        </w:rPr>
        <w:t xml:space="preserve">  &lt;/w:r&gt;</w:t>
      </w:r>
      <w:r>
        <w:br/>
      </w:r>
      <w:r>
        <w:rPr>
          <w:rStyle w:val="VerbatimChar"/>
        </w:rPr>
        <w:t xml:space="preserve">&lt;/w:p&gt;&lt;/w:tc&gt;&lt;/w:tr&gt;&lt;/w:tbl&gt;</w:t>
      </w:r>
    </w:p>
    <w:p>
      <w:r>
        <w:br w:type="page"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2026-04-02T20:58:27Z</dcterms:created>
  <dcterms:modified xsi:type="dcterms:W3CDTF">2026-04-02T20:58:27Z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