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nalyse-descriptive"/>
    <w:p>
      <w:pPr>
        <w:pStyle w:val="Heading1"/>
      </w:pPr>
      <w:r>
        <w:t xml:space="preserve">Analyse descriptive</w:t>
      </w:r>
    </w:p>
    <w:bookmarkStart w:id="10" w:name="Xcc08d3b94eafb484e5945b2c6104aa7d7edd55d"/>
    <w:p>
      <w:pPr>
        <w:pStyle w:val="Heading2"/>
      </w:pPr>
      <w:r>
        <w:t xml:space="preserve">Caractéristiques des patients at baseline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baseli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Caractéristiques des patients at baseline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333333"/>
                    <w:end w:val="single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Protocole de chimiothérapie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33333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Variable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**Total</w:t>
                  </w:r>
                </w:p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(N=103)**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**Adjuvant seul</w:t>
                  </w:r>
                </w:p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(n=53, 51,5%)**</w:t>
                  </w:r>
                </w:p>
              </w:tc>
              <w:tc>
                <w:tcPr>
                  <w:tcBorders>
                    <w:bottom w:val="single" w:sz="16" w:space="0" w:color="33333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**Péri-opératoire</w:t>
                  </w:r>
                </w:p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(n=50, 48,5%)**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Centre,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CHU Nantes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 (24,3)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16 (30,2)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 (18,0)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CHD Vendée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 (24,3)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 (28,3)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 (20,0)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CHU Angers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 (35,0)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 (22,6)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 (48,0)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CHU Lyon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 (16,5)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 (18,9)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 (14,0)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Sexe,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Femme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47 (45,6)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20 (37,7)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27 (54,0)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Homme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56 (54,4)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33 (62,3)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 (46,0)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Âge au diagnostic, années, médiane (IQR)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65,3 (57,9—70,8)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66,1 (59,5—71,9)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63,5 (55,8—67,9)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Âge au diagnostic, années,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&lt;60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33 (32,0)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 (28,3)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 (36,0)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60-69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(40,8)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 (39,6)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 (42,0)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≥70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 (27,2)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 (32,1)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 (22,0)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PS au diagnostic,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60 (66,7)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 (81,8)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 (52,2)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27 (30,0)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 (15,9)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20 (43,5)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(3,3)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(2,3)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(4,3)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Donnée manquante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Douleur au diagnostic,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40 (40,8)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19 (37,3)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 (44,7)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Donnée manquante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CA 19-9 au diagnostic, UI/L, médiane (IQR)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82,0 (20,0—147,0)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79,0 (25,0—110,0)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90,0 (19,0—331,0)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Donnée manquante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Localisation tumorale,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Tête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79 (76,7)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38 (71,7)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41 (82,0)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Corps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 (11,7)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 (13,2)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 (10,0)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Queue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 (10,7)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 (13,2)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(8,0)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Autre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(1,0)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(1,9)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Stade T,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T1-T2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 (84,0)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41 (80,4)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43 (87,8)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T3-T4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16 (16,0)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 (19,6)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(12,2)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Donnée manquante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Stade N,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29 (29,0)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 (25,5)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16 (32,7)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49 (49,0)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 (54,9)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 (42,9)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 (22,0)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 (19,6)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 (24,5)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Donnée manquante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Stade M,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M0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98 (98,0)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51 (100,0)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47 (95,9)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M1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(2,0)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(4,1)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Donnée manquante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>IQR : intervalle interquartile.</w:t>
                  </w:r>
                </w:p>
              </w:tc>
            </w:tr>
          </w:tbl>
          <w:bookmarkEnd w:id="9"/>
        </w:tc>
      </w:tr>
    </w:tbl>
    <w:p>
      <w:r>
        <w:br w:type="page"/>
      </w:r>
    </w:p>
    <w:bookmarkEnd w:id="10"/>
    <w:bookmarkStart w:id="12" w:name="X178ecd3f75058ae310c911b7c19e20799eb7773"/>
    <w:p>
      <w:pPr>
        <w:pStyle w:val="Heading2"/>
      </w:pPr>
      <w:r>
        <w:t xml:space="preserve">Caractéristiques tumorales et prise en charge chirurgicale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tumo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Caractéristiques tumorales et prise en charge chirurgicale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333333"/>
                    <w:end w:val="single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Protocole de chimiothérapie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33333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Variable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DM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**Total</w:t>
                  </w:r>
                </w:p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(N=103)**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**Adjuvant seul</w:t>
                  </w:r>
                </w:p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(n=53, 51,5%)**</w:t>
                  </w:r>
                </w:p>
              </w:tc>
              <w:tc>
                <w:tcPr>
                  <w:tcBorders>
                    <w:bottom w:val="single" w:sz="16" w:space="0" w:color="33333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**Péri-opératoire</w:t>
                  </w:r>
                </w:p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(n=50, 48,5%)**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Délai entre diagnostic et chirurgie, mois, médiane (IQR)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3,3 (1,5—5,7)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 (1,1—2,1)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5,2 (4,2—7,1)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Résécabilité, n (%)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*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> 3/2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Résécable d'emblée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62 (63,3)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50 (100,0)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 (25,0)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Borderline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19 (19,4)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19 (39,6)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Localement avancé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 (17,3)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 (35,4)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Durée d'hospitalisation, jours, médiane (IQR)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> 3/2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16,0 (12,0—23,0)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16,5 (12,0—21,0)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15,0 (12,0—23,0)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Complication post-opératoire, n (%)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†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> 2/3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60 (61,2)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29 (56,9)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31 (66,0)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I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 (12,2)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(11,8)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(12,8)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II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 (12,2)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 (15,7)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(8,5)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III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 (11,2)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 (13,7)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(8,5)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IV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(2,0)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(2,0)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(2,1)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V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(1,0)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(2,1)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Résection chirurgicale,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> 2/6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68 (71,6)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 (70,6)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32 (72,7)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27 (28,4)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 (29,4)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 (27,3)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Type de récidive,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Aucune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 (44,7)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27 (50,9)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19 (38,0)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Locale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 (17,5)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(11,3)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 (24,0)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Métastatique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 (27,2)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 (24,5)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 (30,0)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Locale et métastatique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 (10,7)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 (13,2)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(8,0)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Nombre de sites métastatiques, n (%)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‡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 (68,3)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 (61,9)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 (75,0)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&gt;=2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 (31,7)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 (38,1)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 (25,0)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Site métastatique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‡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Récidive hépatique,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 (22,3)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 (26,4)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 (18,0)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Récidive péritonéale,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 (12,6)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 (13,2)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(12,0)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Récidive ganglionnaire,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 (9,7)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 (13,2)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(6,0)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Récidive pulmonaire,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 (9,7)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(5,7)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 (14,0)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Récidive cérébrale,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(1,0)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(2,0)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Récidive autre,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(1,0)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(1,9)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>IQR : intervalle interquartile ; DM : données manquantes par groupe.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*</w:t>
                  </w:r>
                  <w:r>
                    <w:rPr>
                      <w:rFonts w:ascii="Calibri" w:hAnsi="Calibri"/>
                      <w:sz w:val="20"/>
                    </w:rPr>
                    <w:t xml:space="default">Selon les critères du National Comprehensive Cancer Network (NCCN).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†</w:t>
                  </w:r>
                  <w:r>
                    <w:rPr>
                      <w:rFonts w:ascii="Calibri" w:hAnsi="Calibri"/>
                      <w:sz w:val="20"/>
                    </w:rPr>
                    <w:t xml:space="default">Selon la classification de Clavien-Dindo.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‡</w:t>
                  </w:r>
                  <w:r>
                    <w:rPr>
                      <w:rFonts w:ascii="Calibri" w:hAnsi="Calibri"/>
                      <w:sz w:val="20"/>
                    </w:rPr>
                    <w:t xml:space="default">Parmi les patients ayant récidivé au niveau métastatique ou local + métastatique.</w:t>
                  </w:r>
                </w:p>
              </w:tc>
            </w:tr>
          </w:tbl>
          <w:bookmarkEnd w:id="11"/>
        </w:tc>
      </w:tr>
    </w:tbl>
    <w:p>
      <w:r>
        <w:br w:type="page"/>
      </w:r>
    </w:p>
    <w:bookmarkEnd w:id="12"/>
    <w:bookmarkStart w:id="20" w:name="caractéristiques-du-traitement"/>
    <w:p>
      <w:pPr>
        <w:pStyle w:val="Heading2"/>
      </w:pPr>
      <w:r>
        <w:t xml:space="preserve">Caractéristiques du traitement</w:t>
      </w:r>
    </w:p>
    <w:bookmarkStart w:id="14" w:name="critère-de-jugement-principal"/>
    <w:p>
      <w:pPr>
        <w:pStyle w:val="Heading3"/>
      </w:pPr>
      <w:r>
        <w:t xml:space="preserve">Critère de jugement principal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cj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Critère de jugement principal : atteinte du nombre de cures cible selon le groupe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333333"/>
                    <w:end w:val="single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Protocole de chimiothérapie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33333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Variable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**Total</w:t>
                  </w:r>
                </w:p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(N=103)**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**Adjuvant seul</w:t>
                  </w:r>
                </w:p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(n=53, 51,5%)**</w:t>
                  </w:r>
                </w:p>
              </w:tc>
              <w:tc>
                <w:tcPr>
                  <w:tcBorders>
                    <w:bottom w:val="single" w:sz="16" w:space="0" w:color="33333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**Péri-opératoire</w:t>
                  </w:r>
                </w:p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(n=50, 48,5%)**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Chimiothérapie d'induction, n (%)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*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–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–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50 (100,0)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Nombre de cures, médiane (IQR)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–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–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6,0 (5,0—9,0)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Chimiothérapie adjuvante, n (%)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*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(91,3)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50 (94,3)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44 (88,0)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Nombre de cures, médiane (IQR)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6,0 (5,0—12,0)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12,0 (10,0—12,0)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6,0 (4,0—6,0)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Nombre total de cures &gt;= 12,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65 (63,1)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31 (58,5)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 (68,0)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avec dose relative moyenne &gt;= 80%,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(5,8)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(7,5)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(4,0)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>IQR : intervalle interquartile.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*</w:t>
                  </w:r>
                  <w:r>
                    <w:rPr>
                      <w:rFonts w:ascii="Calibri" w:hAnsi="Calibri"/>
                      <w:sz w:val="20"/>
                    </w:rPr>
                    <w:t xml:space="default">Nombre de patients ayant reçu au moins une cure.</w:t>
                  </w:r>
                </w:p>
              </w:tc>
            </w:tr>
          </w:tbl>
          <w:bookmarkEnd w:id="13"/>
        </w:tc>
      </w:tr>
    </w:tbl>
    <w:p>
      <w:r>
        <w:br w:type="page"/>
      </w:r>
    </w:p>
    <w:bookmarkEnd w:id="14"/>
    <w:bookmarkStart w:id="19" w:name="doses-reçues-et-adaptations"/>
    <w:p>
      <w:pPr>
        <w:pStyle w:val="Heading3"/>
      </w:pPr>
      <w:r>
        <w:t xml:space="preserve">Doses reçues et adaptations</w:t>
      </w:r>
    </w:p>
    <w:bookmarkStart w:id="16" w:name="phase-dinduction"/>
    <w:p>
      <w:pPr>
        <w:pStyle w:val="Heading4"/>
      </w:pPr>
      <w:r>
        <w:t xml:space="preserve">Phase d’induction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ttt-indu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Doses reçues et adaptations à la phase d’induction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33333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Variable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DM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33333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**Groupe</w:t>
                  </w:r>
                </w:p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péri-opératoire</w:t>
                  </w:r>
                </w:p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(N=50)</w:t>
                  </w:r>
                  <w:r>
                    <w:rPr>
                      <w:rFonts w:ascii="Calibri" w:hAnsi="Calibri"/>
                      <w:sz w:val="20"/>
                    </w:rPr>
                    <w:t xml:space="preserve">**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Dernière dose reçue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5-FU, %, médiane (IQR)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100,0 (80,0—100,0)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Irinotécan, %, médiane (IQR)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70,0 (60,0—90,0)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Oxaliplatine, %, médiane (IQR)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80,0 (50,0—100,0)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Adaptation de doses,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43 (86,0)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Pourcentage d'adaptation,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Pas d'adaptation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(12,0)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&lt;=20%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(12,0)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&gt;20%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38 (76,0)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Adaptation de dose à C4,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> 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 (20,4)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&lt;=20%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 (28,6)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&gt;20%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 (51,0)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Adaptation de dose à C8,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> 33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(5,9)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&lt;=20%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 (41,2)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&gt;20%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 (52,9)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Adaptation de dose à C12,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> 46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&lt;=20%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(50,0)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&gt;20%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(50,0)</w:t>
                  </w:r>
                </w:p>
              </w:tc>
            </w:tr>
            <w:tr>
              <w:trPr>
                <w:cantSplit/>
              </w:trPr>
              <w:tc>
                <w:tcPr>
                  <w:gridSpan w:val="3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>IQR : intervalle interquartile ; DM : données manquantes par groupe.</w:t>
                  </w:r>
                </w:p>
              </w:tc>
            </w:tr>
          </w:tbl>
          <w:bookmarkEnd w:id="15"/>
        </w:tc>
      </w:tr>
    </w:tbl>
    <w:p>
      <w:r>
        <w:br w:type="page"/>
      </w:r>
    </w:p>
    <w:bookmarkEnd w:id="16"/>
    <w:bookmarkStart w:id="18" w:name="phase-adjuvante"/>
    <w:p>
      <w:pPr>
        <w:pStyle w:val="Heading4"/>
      </w:pPr>
      <w:r>
        <w:t xml:space="preserve">Phase adjuvante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tbl-ttt-adj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Doses reçues et adaptations à la phase adjuvante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333333"/>
                    <w:end w:val="single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Protocole de chimiothérapie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33333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Variable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DM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**Total</w:t>
                  </w:r>
                </w:p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(N=94)**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**Adjuvant seul</w:t>
                  </w:r>
                </w:p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(n=50, 53,2%)**</w:t>
                  </w:r>
                </w:p>
              </w:tc>
              <w:tc>
                <w:tcPr>
                  <w:tcBorders>
                    <w:bottom w:val="single" w:sz="16" w:space="0" w:color="33333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**Péri-opératoire</w:t>
                  </w:r>
                </w:p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(n=44, 46,8%)**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Dernière dose reçue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5-FU, %, médiane (IQR)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> 0/2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80,0 (75,0—100,0)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80,0 (75,0—100,0)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80,0 (75,0—100,0)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Irinotécan, %, médiane (IQR)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> 0/2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70,0 (50,0—80,0)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70,0 (50,0—80,0)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70,0 (50,0—75,0)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Oxaliplatine, %, médiane (IQR)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> 0/2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25,0 (0,0—70,0)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0,0 (0,0—75,0)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50,0 (0,0—70,0)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Adaptation de doses,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> 0/2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88 (95,7)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47 (94,0)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41 (97,6)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Pourcentage d'adaptation,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> 0/2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Pas d'adaptation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(4,3)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(6,0)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(2,4)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&lt;=20%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 (8,7)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(12,0)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(4,8)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&gt;20%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(87,0)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41 (82,0)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39 (92,9)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Adaptation de dose à C4,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> 3/8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(4,8)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(8,5)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&lt;=20%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33 (39,8)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 (46,8)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 (30,6)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&gt;20%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 (55,4)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 (44,7)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 (69,4)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Adaptation de dose à C8,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> 9/39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(4,3)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(4,9)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&lt;=20%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(13,0)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 (12,2)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(20,0)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&gt;20%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38 (82,6)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 (82,9)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(80,0)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Adaptation de dose à C12,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> 19/44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(3,2)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(3,2)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&lt;=20%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(19,4)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(19,4)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&gt;20%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 (77,4)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 (77,4)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>IQR : intervalle interquartile ; DM : données manquantes par groupe.</w:t>
                  </w:r>
                </w:p>
              </w:tc>
            </w:tr>
          </w:tbl>
          <w:bookmarkEnd w:id="17"/>
        </w:tc>
      </w:tr>
    </w:tbl>
    <w:p>
      <w:r>
        <w:br w:type="page"/>
      </w:r>
    </w:p>
    <w:bookmarkEnd w:id="18"/>
    <w:bookmarkEnd w:id="19"/>
    <w:bookmarkEnd w:id="20"/>
    <w:bookmarkStart w:id="25" w:name="toxicité"/>
    <w:p>
      <w:pPr>
        <w:pStyle w:val="Heading2"/>
      </w:pPr>
      <w:r>
        <w:t xml:space="preserve">Toxicité</w:t>
      </w:r>
    </w:p>
    <w:bookmarkStart w:id="22" w:name="phase-dinduction-1"/>
    <w:p>
      <w:pPr>
        <w:pStyle w:val="Heading3"/>
      </w:pPr>
      <w:r>
        <w:t xml:space="preserve">Phase d’induction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tox-indu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Toxicités grade III-IV à la phase d’induction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333333"/>
                    <w:end w:val="single" w:space="0" w:color="D3D3D3"/>
                  </w:tcBorders>
                  <w:gridSpan w:val="1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Protocole de chimiothérapie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33333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Variable</w:t>
                  </w:r>
                </w:p>
              </w:tc>
              <w:tc>
                <w:tcPr>
                  <w:tcBorders>
                    <w:bottom w:val="single" w:sz="16" w:space="0" w:color="33333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**Péri-opératoire</w:t>
                  </w:r>
                </w:p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(n=50)**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Toxicité de grade III-IV, n (%)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*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 (20,0)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Vomissement,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 (10,0)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Neurotoxicité,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(8,0)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Asthénie,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(4,0)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Diarrhée,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(2,0)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Neutropénie,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(2,0)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Cytolyse/cholestase,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(2,0)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*</w:t>
                  </w:r>
                  <w:r>
                    <w:rPr>
                      <w:rFonts w:ascii="Calibri" w:hAnsi="Calibri"/>
                      <w:sz w:val="20"/>
                    </w:rPr>
                    <w:t xml:space="default">Selon la classification CTCAE.</w:t>
                  </w:r>
                </w:p>
              </w:tc>
            </w:tr>
          </w:tbl>
          <w:bookmarkEnd w:id="21"/>
        </w:tc>
      </w:tr>
    </w:tbl>
    <w:p>
      <w:r>
        <w:br w:type="page"/>
      </w:r>
    </w:p>
    <w:bookmarkEnd w:id="22"/>
    <w:bookmarkStart w:id="24" w:name="phase-adjuvante-1"/>
    <w:p>
      <w:pPr>
        <w:pStyle w:val="Heading3"/>
      </w:pPr>
      <w:r>
        <w:t xml:space="preserve">Phase adjuvante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tox-adj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Toxicités grade III-IV à la phase adjuvante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333333"/>
                    <w:end w:val="single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Protocole de chimiothérapie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33333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Variable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DM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**Total</w:t>
                  </w:r>
                </w:p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(N=94)**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**Adjuvant seul</w:t>
                  </w:r>
                </w:p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(n=50, 53,2%)**</w:t>
                  </w:r>
                </w:p>
              </w:tc>
              <w:tc>
                <w:tcPr>
                  <w:tcBorders>
                    <w:bottom w:val="single" w:sz="16" w:space="0" w:color="33333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**Péri-opératoire</w:t>
                  </w:r>
                </w:p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(n=44, 46,8%)**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Toxicité de grade III-IV, n (%)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*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> 0/2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 (25,0)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20 (40,0)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(7,1)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Diarrhée,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> 0/2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 (9,8)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 (18,0)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Neurotoxicité,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> 0/2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 (9,8)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(12,0)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(7,1)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Nausées/vomissement,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> 0/2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 (8,7)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 (16,0)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Asthénie,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> 0/2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(4,3)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(8,0)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Neutropénie,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> 0/2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(4,3)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(8,0)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Cytolyse/cholestase,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11px"/>
                    </w:rPr>
                    <w:t xml:space="default"> 1/2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>DM : données manquantes par groupe.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*</w:t>
                  </w:r>
                  <w:r>
                    <w:rPr>
                      <w:rFonts w:ascii="Calibri" w:hAnsi="Calibri"/>
                      <w:sz w:val="20"/>
                    </w:rPr>
                    <w:t xml:space="default">Selon la classification CTCAE.</w:t>
                  </w:r>
                </w:p>
              </w:tc>
            </w:tr>
          </w:tbl>
          <w:bookmarkEnd w:id="23"/>
        </w:tc>
      </w:tr>
    </w:tbl>
    <w:p>
      <w:r>
        <w:br w:type="page"/>
      </w:r>
    </w:p>
    <w:bookmarkEnd w:id="24"/>
    <w:bookmarkEnd w:id="25"/>
    <w:bookmarkStart w:id="27" w:name="décès-et-récidive"/>
    <w:p>
      <w:pPr>
        <w:pStyle w:val="Heading2"/>
      </w:pPr>
      <w:r>
        <w:t xml:space="preserve">Décès et récidive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even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Décès et récidive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333333"/>
                    <w:end w:val="single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Protocole de chimiothérapie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33333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Variable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**Total</w:t>
                  </w:r>
                </w:p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(N=103)**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**Adjuvant seul</w:t>
                  </w:r>
                </w:p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(n=53, 51,5%)**</w:t>
                  </w:r>
                </w:p>
              </w:tc>
              <w:tc>
                <w:tcPr>
                  <w:tcBorders>
                    <w:bottom w:val="single" w:sz="16" w:space="0" w:color="33333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**Péri-opératoire</w:t>
                  </w:r>
                </w:p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(n=50, 48,5%)**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Décès toutes causes,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 (44,7)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 (47,2)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 (42,0)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Premier évènement, 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Récidive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56 (54,4)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 (47,2)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31 (62,0)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Décès sans récidive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 (7,8)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 (9,4)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(6,0)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Censure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39 (37,9)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 (43,4)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16 (32,0)</w:t>
                  </w:r>
                </w:p>
              </w:tc>
            </w:tr>
          </w:tbl>
          <w:bookmarkEnd w:id="26"/>
        </w:tc>
      </w:tr>
    </w:tbl>
    <w:p>
      <w:r>
        <w:br w:type="page"/>
      </w:r>
    </w:p>
    <w:bookmarkEnd w:id="27"/>
    <w:bookmarkEnd w:id="28"/>
    <w:bookmarkStart w:id="31" w:name="analyse-de-survie"/>
    <w:p>
      <w:pPr>
        <w:pStyle w:val="Heading1"/>
      </w:pPr>
      <w:r>
        <w:t xml:space="preserve">Analyse de survie</w:t>
      </w:r>
    </w:p>
    <w:bookmarkStart w:id="30" w:name="survie-globale"/>
    <w:p>
      <w:pPr>
        <w:pStyle w:val="Heading2"/>
      </w:pPr>
      <w:r>
        <w:t xml:space="preserve">Survie globale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surv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Survie globale : estimations Kaplan-Meier en population totale et selon le protocole de chimio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333333"/>
                  </w:tcBorders>
                  <w:gridSpan w:val="4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 survival probability, % [IC95%]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33333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Caractéristique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12 months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24 months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36 months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48 months</w:t>
                  </w:r>
                </w:p>
              </w:tc>
              <w:tc>
                <w:tcPr>
                  <w:tcBorders>
                    <w:bottom w:val="single" w:sz="16" w:space="0" w:color="33333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p-valeur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*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91,2 [85,9 ; 96,9]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68,9 [60,0 ; 79,1]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52,0 [41,5 ; 65,2]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41,6 [30,3 ; 57,0]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Protocole de chimiothérapie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color w:val="999999"/>
                    </w:rPr>
                    <w:t xml:space="default">    Adjuvant seul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color w:val="999999"/>
                    </w:rPr>
                    <w:t xml:space="default">88,7 [80,5 ; 97,6]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color w:val="999999"/>
                    </w:rPr>
                    <w:t xml:space="default">66,1 [53,7 ; 81,3]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color w:val="999999"/>
                    </w:rPr>
                    <w:t xml:space="default">46,9 [33,0 ; 66,7]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color w:val="999999"/>
                    </w:rPr>
                    <w:t xml:space="default">32,2 [18,4 ; 56,2]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color w:val="999999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color w:val="0099FF"/>
                    </w:rPr>
                    <w:t xml:space="default">    Péri-opératoire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color w:val="0099FF"/>
                    </w:rPr>
                    <w:t xml:space="default">94,0 [87,6 ; 100,0]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color w:val="0099FF"/>
                    </w:rPr>
                    <w:t xml:space="default">72,0 [60,0 ; 86,4]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color w:val="0099FF"/>
                    </w:rPr>
                    <w:t xml:space="default">57,8 [43,5 ; 76,8]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color w:val="0099FF"/>
                    </w:rPr>
                    <w:t xml:space="default">52,5 [37,4 ; 73,8]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color w:val="0099FF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gridSpan w:val="6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>IC95% : intervalle de confiance à 95%.</w:t>
                  </w:r>
                </w:p>
              </w:tc>
            </w:tr>
            <w:tr>
              <w:trPr>
                <w:cantSplit/>
              </w:trPr>
              <w:tc>
                <w:tcPr>
                  <w:gridSpan w:val="6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*</w:t>
                  </w:r>
                  <w:r>
                    <w:rPr>
                      <w:rFonts w:ascii="Calibri" w:hAnsi="Calibri"/>
                      <w:sz w:val="20"/>
                    </w:rPr>
                    <w:t xml:space="preserve">Log-rank test</w:t>
                  </w:r>
                </w:p>
              </w:tc>
            </w:tr>
          </w:tbl>
          <w:bookmarkEnd w:id="29"/>
        </w:tc>
      </w:tr>
    </w:tbl>
    <w:p>
      <w:r>
        <w:br w:type="page"/>
      </w:r>
    </w:p>
    <w:bookmarkEnd w:id="30"/>
    <w:bookmarkEnd w:id="31"/>
    <w:bookmarkStart w:id="36" w:name="analyse-multivariable"/>
    <w:p>
      <w:pPr>
        <w:pStyle w:val="Heading1"/>
      </w:pPr>
      <w:r>
        <w:t xml:space="preserve">Analyse multivariable</w:t>
      </w:r>
    </w:p>
    <w:bookmarkStart w:id="33" w:name="régression-logistique"/>
    <w:p>
      <w:pPr>
        <w:pStyle w:val="Heading2"/>
      </w:pPr>
      <w:r>
        <w:t xml:space="preserve">Régression logistique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gl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10: Régression logistique : facteurs associés à la réception d’au moins 12 cures au total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333333"/>
                  </w:tcBorders>
                  <w:gridSpan w:val="3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Analyse univariable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333333"/>
                    <w:end w:val="single" w:space="0" w:color="D3D3D3"/>
                  </w:tcBorders>
                  <w:gridSpan w:val="3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Analyse multivariable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33333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Variable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n/N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OR [IC95%]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n/N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aOR [IC95%]</w:t>
                  </w:r>
                </w:p>
              </w:tc>
              <w:tc>
                <w:tcPr>
                  <w:tcBorders>
                    <w:bottom w:val="single" w:sz="16" w:space="0" w:color="33333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*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Protocole de chimiothérapie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0,32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0,60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Adjuvant seul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31/53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Référence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22/41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Référence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Péri-opératoire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34/50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1,51 [0,68 ; 3,42]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30/44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1,33 [0,46 ; 3,94]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Centre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0,19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0,32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CHU Nantes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12/25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Référence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9/20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Référence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CHD Vendée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16/25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1,93 [0,63 ; 6,14]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13/21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2,11 [0,57 ; 8,23]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CHU Angers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27/36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3,25 [1,11 ; 9,98]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23/30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3,32 [0,87 ; 13,5]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CHU Lyon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10/17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1,55 [0,45 ; 5,54]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7/14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1,30 [0,30 ; 5,60]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Durée d'hospitalisation, jours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61/98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0,99 [0,94 ; 1,03]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0,54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52/85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0,99 [0,94 ; 1,04]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0,68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Âge au diagnostic, années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†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65/103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0,73 [0,56 ; 0,92]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0,007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52/85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0,76 [0,57 ; 1,0]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0,045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PS au diagnostic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0,44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0,68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39/60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Référence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36/56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Référence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1-2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17/30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0,70 [0,29 ; 1,74]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16/29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0,79 [0,26 ; 2,40]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CA 19-9 au diagnostic, UI/L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34/57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1,00 [1,00 ; 1,00]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0,50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Résécabilité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0,49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Résécable d'emblée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38/62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Référence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Borderline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12/19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1,08 [0,38 ; 3,27]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Localement avancé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13/17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2,05 [0,64 ; 7,95]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gridSpan w:val="7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>OR : odds ratio ; aOR : odds ratio ajusté ; n/N : nombre d'évènements/nombre total d'observations ; IC95% : intervalle de confiance à 95%.</w:t>
                  </w:r>
                </w:p>
              </w:tc>
            </w:tr>
            <w:tr>
              <w:trPr>
                <w:cantSplit/>
              </w:trPr>
              <w:tc>
                <w:tcPr>
                  <w:gridSpan w:val="7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*</w:t>
                  </w:r>
                  <w:r>
                    <w:rPr>
                      <w:rFonts w:ascii="Calibri" w:hAnsi="Calibri"/>
                      <w:sz w:val="20"/>
                    </w:rPr>
                    <w:t xml:space="default">Modèle de regression logistique multivariable incluant 52 évènements pour 85 observations complètes (18 observations supprimées pour cause de données manquantes).</w:t>
                  </w:r>
                </w:p>
              </w:tc>
            </w:tr>
            <w:tr>
              <w:trPr>
                <w:cantSplit/>
              </w:trPr>
              <w:tc>
                <w:tcPr>
                  <w:gridSpan w:val="7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†</w:t>
                  </w:r>
                  <w:r>
                    <w:rPr>
                      <w:rFonts w:ascii="Calibri" w:hAnsi="Calibri"/>
                      <w:sz w:val="20"/>
                    </w:rPr>
                    <w:t xml:space="default">Par tranches de 5 ans.</w:t>
                  </w:r>
                </w:p>
              </w:tc>
            </w:tr>
          </w:tbl>
          <w:bookmarkEnd w:id="32"/>
        </w:tc>
      </w:tr>
    </w:tbl>
    <w:p>
      <w:r>
        <w:br w:type="page"/>
      </w:r>
    </w:p>
    <w:bookmarkEnd w:id="33"/>
    <w:bookmarkStart w:id="35" w:name="estimation-de-la-survie-globale"/>
    <w:p>
      <w:pPr>
        <w:pStyle w:val="Heading2"/>
      </w:pPr>
      <w:r>
        <w:t xml:space="preserve">Estimation de la survie globale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tbl-coxph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11: Modèle de Cox (naïf) : survie globale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333333"/>
                  </w:tcBorders>
                  <w:gridSpan w:val="3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Analyse univariable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333333"/>
                    <w:end w:val="single" w:space="0" w:color="D3D3D3"/>
                  </w:tcBorders>
                  <w:gridSpan w:val="3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Analyse multivariable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33333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Variable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n/N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HR [IC95%]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n/N</w:t>
                  </w:r>
                </w:p>
              </w:tc>
              <w:tc>
                <w:tcPr>
                  <w:tcBorders>
                    <w:bottom w:val="single" w:sz="16" w:space="0" w:color="33333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aHR [IC95%]</w:t>
                  </w:r>
                </w:p>
              </w:tc>
              <w:tc>
                <w:tcPr>
                  <w:tcBorders>
                    <w:bottom w:val="single" w:sz="16" w:space="0" w:color="33333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*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Protocole de chimiothérapie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0,35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0,038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Adjuvant seul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25/53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Référence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20/41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Référence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Péri-opératoire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21/50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0,76 [0,42 ; 1,37]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17/44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0,42 [0,18 ; 0,97]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Nombre total de cures &gt;= 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46/103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0,42 [0,24 ; 0,76]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0,004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37/85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0,52 [0,26 ; 1,07]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0,078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Centre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0,51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0,32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CHU Nantes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14/25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Référence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12/20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Référence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CHD Vendée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12/25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0,89 [0,41 ; 1,93]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10/21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1,15 [0,46 ; 2,89]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CHU Angers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18/36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1,09 [0,54 ; 2,19]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13/30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2,01 [0,78 ; 5,16]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CHU Lyon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2/17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0,41 [0,09 ; 1,80]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2/14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0,64 [0,13 ; 3,12]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Durée d'hospitalisation, jours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43/98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1,05 [1,02 ; 1,08]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0,002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37/85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 [1,02 ; 1,10]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0,005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Âge au diagnostic, années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†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46/103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1,09 [0,92 ; 1,29]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0,33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37/85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1,09 [0,91 ; 1,30]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0,35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PS au diagnostic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0,18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0,33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23/60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Référence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21/56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Référence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1-2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17/30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1,55 [0,82 ; 2,95]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16/29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 [0,63 ; 3,95]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CA 19-9 au diagnostic, UI/L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24/57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1,00 [1,00 ; 1,00]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0,11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Résécabilité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0,71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Résécable d'emblée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28/62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Référence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Borderline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7/19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0,72 [0,31 ; 1,65]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Localement avancé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8/17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0,85 [0,38 ; 1,88]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gridSpan w:val="7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>HR : hazard ratio ; aHR : hazard ratio ajusté ; n/N : nombre d'évènements/nombre total d'observations ; IC95% : intervalle de confiance à 95%.</w:t>
                  </w:r>
                </w:p>
              </w:tc>
            </w:tr>
            <w:tr>
              <w:trPr>
                <w:cantSplit/>
              </w:trPr>
              <w:tc>
                <w:tcPr>
                  <w:gridSpan w:val="7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*</w:t>
                  </w:r>
                  <w:r>
                    <w:rPr>
                      <w:rFonts w:ascii="Calibri" w:hAnsi="Calibri"/>
                      <w:sz w:val="20"/>
                    </w:rPr>
                    <w:t xml:space="default">Modèle de regression de Cox multivariable incluant 37 évènements pour 85 observations complètes (18 observations supprimées pour cause de données manquantes).</w:t>
                  </w:r>
                </w:p>
              </w:tc>
            </w:tr>
            <w:tr>
              <w:trPr>
                <w:cantSplit/>
              </w:trPr>
              <w:tc>
                <w:tcPr>
                  <w:gridSpan w:val="7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†</w:t>
                  </w:r>
                  <w:r>
                    <w:rPr>
                      <w:rFonts w:ascii="Calibri" w:hAnsi="Calibri"/>
                      <w:sz w:val="20"/>
                    </w:rPr>
                    <w:t xml:space="default">Par tranches de 5 ans.</w:t>
                  </w:r>
                </w:p>
              </w:tc>
            </w:tr>
          </w:tbl>
          <w:bookmarkEnd w:id="34"/>
        </w:tc>
      </w:tr>
    </w:tbl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2026-07-14T23:55:36Z</dcterms:created>
  <dcterms:modified xsi:type="dcterms:W3CDTF">2026-07-14T23:55:36Z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