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emf" ContentType="image/x-emf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test render 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50" w:name="analyse-descriptive"/>
    <w:p>
      <w:pPr>
        <w:pStyle w:val="Titre1"/>
      </w:pPr>
      <w:r>
        <w:t xml:space="preserve">Analyse descriptive</w:t>
      </w:r>
    </w:p>
    <w:bookmarkStart w:id="35" w:name="Xcc08d3b94eafb484e5945b2c6104aa7d7edd55d"/>
    <w:p>
      <w:pPr>
        <w:pStyle w:val="Titre2"/>
      </w:pPr>
      <w:r>
        <w:t xml:space="preserve">Caractéristiques des patients at baseline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basel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1. Caractéristiques des patients at baseline,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(N=103)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(n=53, 51,5%)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48,5%)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Centre,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Nantes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(24,3)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 (30,2)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(18,0)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CHD Vendée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(24,3)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(28,3)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(20,0)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Angers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36 (35,0)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(22,6)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24 (48,0)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Lyon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 (16,5)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(18,9)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(14,0)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Sexe,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Femme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47 (45,6)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20 (37,7)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27 (54,0)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Homme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56 (54,4)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33 (62,3)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 (46,0)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Âge au diagnostic, années,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65,3 (57,9—70,8)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66,1 (59,5—71,9)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63,5 (55,8—67,9)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Âge au diagnostic, années,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33 (32,0)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(28,3)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18 (36,0)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60-69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42 (40,8)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(39,6)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(42,0)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≥70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28 (27,2)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 (32,1)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11 (22,0)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PS au diagnostic,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9/4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60 (66,7)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36 (81,8)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24 (52,2)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27 (30,0)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(15,9)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20 (43,5)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(3,3)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(4,3)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Douleur au diagnostic,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2/3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40 (40,8)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 (37,3)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(44,7)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CA 19-9 au diagnostic, UI/L,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23/23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82,0 (20,0—147,0)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79,0 (25,0—110,0)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90,0 (19,0—331,0)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CA 19-9 au diagnostic &gt;= 500 UI/L,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23/23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(12,3)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(6,7)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(18,5)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Localisation tumorale,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Tête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79 (76,7)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38 (71,7)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41 (82,0)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Corps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(12,6)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(15,1)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(10,0)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Queue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11 (10,7)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Stade T,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2/1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T1-T2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85 (85,0)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41 (80,4)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44 (89,8)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T3-T4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(15,0)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(19,6)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(10,2)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Stade N,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2/1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29 (29,0)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(25,5)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 (32,7)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49 (49,0)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28 (54,9)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(42,9)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22 (22,0)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(19,6)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(24,5)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Stade M,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M0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102 (100,0)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53 (100,0)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49 (100,0)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IQR : intervalle interquartile ; DM : données manquantes par groupe.</w:t>
                  </w:r>
                </w:p>
              </w:tc>
            </w:tr>
          </w:tbl>
          <w:bookmarkEnd w:id="34"/>
        </w:tc>
      </w:tr>
    </w:tbl>
    <w:p>
      <w:r>
        <w:br w:type="page"/>
      </w:r>
    </w:p>
    <w:bookmarkEnd w:id="35"/>
    <w:bookmarkStart w:id="37" w:name="X178ecd3f75058ae310c911b7c19e20799eb7773"/>
    <w:p>
      <w:pPr>
        <w:pStyle w:val="Titre2"/>
      </w:pPr>
      <w:r>
        <w:t xml:space="preserve">Caractéristiques tumorales et prise en charge chirurgicale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tum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 Caractéristiques tumorales et prise en charge chirurgicale,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(N=103)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(n=53, 51,5%)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48,5%)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Délai entre diagnostic et chirurgie, mois,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3,3 (1,5—5,7)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1,5 (1,1—2,1)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5,2 (4,2—7,1)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Résécabilité,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3/2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Résécable d'emblée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62 (63,3)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50 (100,0)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(25,0)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Borderline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 (19,4)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 (39,6)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Localement avancé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 (17,3)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 (35,4)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Durée d'hospitalisation, jours,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3/2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16,0 (12,0—23,0)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16,5 (12,0—21,0)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15,0 (12,0—23,0)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Complication post-opératoire,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2/3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60 (61,2)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29 (56,9)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31 (66,0)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(12,2)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(11,8)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(12,8)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II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(12,2)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(15,7)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(8,5)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III-IV-V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14 (14,3)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(15,7)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(12,8)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Résection chirurgicale,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2/6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68 (71,6)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36 (70,6)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32 (72,7)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27 (28,4)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(29,4)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(27,3)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Type de récidive,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Aucune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46 (44,7)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27 (50,9)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 (38,0)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18 (17,5)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(11,3)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 (24,0)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Métastatique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28 (27,2)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(24,5)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(30,0)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Locale et métastatique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11 (10,7)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Nombre de sites métastatiques,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28 (68,3)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(61,9)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 (75,0)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&gt;=2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(31,7)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(38,1)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(25,0)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Site métastatique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hépatique,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 (22,3)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14 (26,4)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(18,0)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péritonéale,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13 (12,6)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ganglionnaire,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(9,7)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pulmonaire,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(9,7)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(5,7)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(14,0)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cérébrale,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(1,0)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(2,0)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 autre, n (%)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(1,0)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(1,9)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Selon les critères du National Comprehensive Cancer Network (NCCN).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Selon la classification de Clavien-Dindo.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Parmi les patients ayant récidivé au niveau métastatique ou local + métastatique.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IQR : intervalle interquartile ; DM : données manquantes par groupe.</w:t>
                  </w:r>
                </w:p>
              </w:tc>
            </w:tr>
          </w:tbl>
          <w:bookmarkEnd w:id="36"/>
        </w:tc>
      </w:tr>
    </w:tbl>
    <w:p>
      <w:r>
        <w:br w:type="page"/>
      </w:r>
    </w:p>
    <w:bookmarkEnd w:id="37"/>
    <w:bookmarkStart w:id="39" w:name="critère-de-jugement-principal"/>
    <w:p>
      <w:pPr>
        <w:pStyle w:val="Titre2"/>
      </w:pPr>
      <w:r>
        <w:t xml:space="preserve">Critère de jugement principal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j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3. Nombre de cures reçues,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(N=103)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(n=53, 51,5%)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48,5%)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Chimiothérapie d'induction,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–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–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50 (100,0)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Nombre de cures,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–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–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6,0 (5,0—9,0)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Chimiothérapie adjuvante,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94 (91,3)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50 (94,3)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44 (88,0)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Nombre de cures,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6,0 (5,0—12,0)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12,0 (10,0—12,0)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6,0 (4,0—6,0)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Nombre total de cures &lt; 12,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38 (36,9)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22 (41,5)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 (32,0)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ou dose relative moyenne &lt; 80%, n (%)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97 (94,2)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49 (92,5)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48 (96,0)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Nombre de patients ayant reçu au moins une cure.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IQR : intervalle interquartile.</w:t>
                  </w:r>
                </w:p>
              </w:tc>
            </w:tr>
          </w:tbl>
          <w:bookmarkEnd w:id="38"/>
        </w:tc>
      </w:tr>
    </w:tbl>
    <w:p>
      <w:r>
        <w:br w:type="page"/>
      </w:r>
    </w:p>
    <w:bookmarkEnd w:id="39"/>
    <w:bookmarkStart w:id="44" w:name="caractéristiques-du-traitement"/>
    <w:p>
      <w:pPr>
        <w:pStyle w:val="Titre2"/>
      </w:pPr>
      <w:r>
        <w:t xml:space="preserve">Caractéristiques du traitement</w:t>
      </w:r>
    </w:p>
    <w:bookmarkStart w:id="41" w:name="phase-dinduction"/>
    <w:p>
      <w:pPr>
        <w:pStyle w:val="Titre3"/>
      </w:pPr>
      <w:r>
        <w:t xml:space="preserve">Phase d’induction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ttt-indu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4. Doses reçues et adaptations de doses à la phase d’induction,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4136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Dernière dose reçue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5-FU,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100,0 (80,0—100,0)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Irinotécan,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70,0 (60,0—90,0)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Oxaliplatine,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80,0 (50,0—100,0)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doses,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43 (86,0)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Pourcentage d'adaptation,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Pas d'adaptation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38 (76,0)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C4,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(20,4)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14 (28,6)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(51,0)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C8,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(5,9)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 (41,2)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(52,9)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C12,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(50,0)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(50,0)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3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IQR : intervalle interquartile ; DM : données manquantes par groupe.</w:t>
                  </w:r>
                </w:p>
              </w:tc>
            </w:tr>
          </w:tbl>
          <w:bookmarkEnd w:id="40"/>
        </w:tc>
      </w:tr>
    </w:tbl>
    <w:p>
      <w:r>
        <w:br w:type="page"/>
      </w:r>
    </w:p>
    <w:bookmarkEnd w:id="41"/>
    <w:bookmarkStart w:id="43" w:name="phase-adjuvante"/>
    <w:p>
      <w:pPr>
        <w:pStyle w:val="Titre3"/>
      </w:pPr>
      <w:r>
        <w:t xml:space="preserve">Phase adjuvante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ttt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5. Doses reçues et adaptations de doses à la phase adjuvante,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(N=94)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53,2%)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(n=44, 46,8%)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Dernière dose reçue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5-FU,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80,0 (75,0—100,0)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80,0 (75,0—100,0)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80,0 (75,0—100,0)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Irinotécan,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70,0 (50,0—80,0)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70,0 (50,0—80,0)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70,0 (50,0—75,0)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Oxaliplatine, %, médiane (IQR)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25,0 (0,0—70,0)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0,0 (0,0—75,0)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50,0 (0,0—70,0)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doses,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88 (95,7)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47 (94,0)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41 (97,6)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Pourcentage d'adaptation,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Pas d'adaptation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(6,0)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(2,4)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(8,7)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(4,8)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80 (87,0)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41 (82,0)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39 (92,9)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C4,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3/8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(4,8)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33 (39,8)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22 (46,8)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11 (30,6)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46 (55,4)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(44,7)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(69,4)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C8,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9/39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(4,9)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(13,0)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(12,2)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38 (82,6)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34 (82,9)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Adaptation de dose à C12,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19/44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(3,2)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&lt;=20%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(19,4)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(19,4)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&gt;20%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24 (77,4)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24 (77,4)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IQR : intervalle interquartile ; DM : données manquantes par groupe.</w:t>
                  </w:r>
                </w:p>
              </w:tc>
            </w:tr>
          </w:tbl>
          <w:bookmarkEnd w:id="42"/>
        </w:tc>
      </w:tr>
    </w:tbl>
    <w:p>
      <w:r>
        <w:br w:type="page"/>
      </w:r>
    </w:p>
    <w:bookmarkEnd w:id="43"/>
    <w:bookmarkEnd w:id="44"/>
    <w:bookmarkStart w:id="49" w:name="toxicité-chimio-induite"/>
    <w:p>
      <w:pPr>
        <w:pStyle w:val="Titre2"/>
      </w:pPr>
      <w:r>
        <w:t xml:space="preserve">Toxicité chimio-induite</w:t>
      </w:r>
    </w:p>
    <w:bookmarkStart w:id="46" w:name="phase-dinduction-1"/>
    <w:p>
      <w:pPr>
        <w:pStyle w:val="Titre3"/>
      </w:pPr>
      <w:r>
        <w:t xml:space="preserve">Phase d’induction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tox-indu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6. Toxicité chimio-induite de grade III-IV à la phase d’induction,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3723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Toxicité de grade III-IV,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 (20,0)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Vomissement,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(10,0)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Neurotoxicité,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Asthénie,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 (4,0)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Diarrhée,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Neutropénie,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(2,0)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Cytolyse/cholestase, n (%)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 (2,0)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2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Selon la Common Terminology Criteria for Adverse Events (CTCAE).</w:t>
                  </w:r>
                </w:p>
              </w:tc>
            </w:tr>
          </w:tbl>
          <w:bookmarkEnd w:id="45"/>
        </w:tc>
      </w:tr>
    </w:tbl>
    <w:p>
      <w:r>
        <w:br w:type="page"/>
      </w:r>
    </w:p>
    <w:bookmarkEnd w:id="46"/>
    <w:bookmarkStart w:id="48" w:name="phase-adjuvante-1"/>
    <w:p>
      <w:pPr>
        <w:pStyle w:val="Titre3"/>
      </w:pPr>
      <w:r>
        <w:t xml:space="preserve">Phase adjuvante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tox-ad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7. Toxicité chimio-induite de grade III-IV à la phase adjuvante,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4964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DM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(N=94)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53,2%)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(n=44, 46,8%)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Toxicité de grade III-IV, n (%)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 (25,0)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20 (40,0)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(7,1)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Diarrhée,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(9,8)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(18,0)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Neurotoxicité,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 (9,8)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 (12,0)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(7,1)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Nausées/vomissement,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(8,7)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(16,0)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Asthénie,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Neutropénie,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0/2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(4,3)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 (8,0)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Cytolyse/cholestase, n (%)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1/2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Selon la Common Terminology Criteria for Adverse Events (CTCAE).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5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DM : données manquantes par groupe.</w:t>
                  </w:r>
                </w:p>
              </w:tc>
            </w:tr>
          </w:tbl>
          <w:bookmarkEnd w:id="47"/>
        </w:tc>
      </w:tr>
    </w:tbl>
    <w:p>
      <w:r>
        <w:br w:type="page"/>
      </w:r>
    </w:p>
    <w:bookmarkEnd w:id="48"/>
    <w:bookmarkEnd w:id="49"/>
    <w:bookmarkEnd w:id="50"/>
    <w:bookmarkStart w:id="55" w:name="analyse-de-survie"/>
    <w:p>
      <w:pPr>
        <w:pStyle w:val="Titre1"/>
      </w:pPr>
      <w:r>
        <w:t xml:space="preserve">Analyse de survie</w:t>
      </w:r>
    </w:p>
    <w:bookmarkStart w:id="52" w:name="évènements"/>
    <w:p>
      <w:pPr>
        <w:pStyle w:val="Titre2"/>
      </w:pPr>
      <w:r>
        <w:t xml:space="preserve">Évènements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ev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8. Évènements.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2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</w:tr>
            <w:tr>
              <w:trPr>
                <w:trHeight w:val="902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(N=103)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(n=53, 51,5%)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(n=50, 48,5%)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Décès toutes causes,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46 (44,7)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(47,2)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 (42,0)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Premier évènement, n 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Récidive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56 (54,4)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 (47,2)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31 (62,0)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Décès sans récidive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 (7,8)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 (9,4)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 (6,0)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Censure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39 (37,9)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 (43,4)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16 (32,0)</w:t>
                  </w:r>
                </w:p>
              </w:tc>
            </w:tr>
          </w:tbl>
          <w:bookmarkEnd w:id="51"/>
        </w:tc>
      </w:tr>
    </w:tbl>
    <w:p>
      <w:r>
        <w:br w:type="page"/>
      </w:r>
    </w:p>
    <w:bookmarkEnd w:id="52"/>
    <w:bookmarkStart w:id="54" w:name="survie-globale"/>
    <w:p>
      <w:pPr>
        <w:pStyle w:val="Titre2"/>
      </w:pPr>
      <w:r>
        <w:t xml:space="preserve">Survie globale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sur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9. Estimations Kaplan-Meier de la survie globale, globalement et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4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Probabilité de survie globale, % [IC95%]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</w:tr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Caractéristique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12 months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24 months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36 months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48 months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p-valeur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Total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91,2 [85,9 ; 96,9]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68,9 [60,0 ; 79,1]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52,0 [41,5 ; 65,2]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41,6 [30,3 ; 57,0]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0,4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999999"/>
                    </w:rPr>
                    <w:t xml:space="preserve">Adjuvant seul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  <w:t xml:space="preserve">88,7 [80,5 ; 97,6]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  <w:t xml:space="preserve">66,1 [53,7 ; 81,3]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  <w:t xml:space="preserve">46,9 [33,0 ; 66,7]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999999"/>
                    </w:rPr>
                    <w:t xml:space="preserve">32,2 [18,4 ; 56,2]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999999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999999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99FF"/>
                    </w:rPr>
                    <w:t xml:space="preserve">Péri-opératoire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  <w:t xml:space="preserve">94,0 [87,6 ; 100,0]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  <w:t xml:space="preserve">72,0 [60,0 ; 86,4]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  <w:t xml:space="preserve">57,8 [43,5 ; 76,8]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99FF"/>
                    </w:rPr>
                    <w:t xml:space="preserve">52,5 [37,4 ; 73,8]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99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99FF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Log-rank test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6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IC95% : intervalle de confiance à 95%.</w:t>
                  </w:r>
                </w:p>
              </w:tc>
            </w:tr>
          </w:tbl>
          <w:bookmarkEnd w:id="53"/>
        </w:tc>
      </w:tr>
    </w:tbl>
    <w:p>
      <w:r>
        <w:br w:type="page"/>
      </w:r>
    </w:p>
    <w:bookmarkEnd w:id="54"/>
    <w:bookmarkEnd w:id="55"/>
    <w:bookmarkStart w:id="60" w:name="analyse-multivariable"/>
    <w:p>
      <w:pPr>
        <w:pStyle w:val="Titre1"/>
      </w:pPr>
      <w:r>
        <w:t xml:space="preserve">Analyse multivariable</w:t>
      </w:r>
    </w:p>
    <w:bookmarkStart w:id="57" w:name="régression-de-quasi-poisson"/>
    <w:p>
      <w:pPr>
        <w:pStyle w:val="Titre2"/>
      </w:pPr>
      <w:r>
        <w:t xml:space="preserve">Régression de quasi-Poisson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po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10. Facteurs associés à une augmentation du nombre total de cures reçues.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Analyse univariable</w:t>
                  </w:r>
                </w:p>
              </w:tc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Analyse multivariable</w:t>
                  </w:r>
                </w:p>
              </w:tc>
            </w:tr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IRR [IC95%]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aIRR [IC95%]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0,004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0,028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1,21 [1,06 ; 1,38]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1,20 [1,02 ; 1,41]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Centre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0,11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Nantes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CHD Vendée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1,24 [1,02 ; 1,51]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1,30 [1,04 ; 1,63]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Angers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1,20 [1,00 ; 1,44]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1,21 [0,98 ; 1,50]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Lyon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1,21 [0,97 ; 1,50]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1,27 [0,99 ; 1,61]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Âge au diagnostic, années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0,96 [0,92 ; 0,99]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0,97 [0,93 ; 1,01]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0,12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PS au diagnostic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0,82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0,62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1-2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0,98 [0,84 ; 1,15]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0,96 [0,81 ; 1,13]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Résécabilité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Résécable d'emblée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Borderline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1,14 [0,96 ; 1,36]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Localement avancé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1,29 [1,08 ; 1,53]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Modèle de régression de quasi-Poisson multivariable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portant sur 90 observations complètes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(13 observations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supprimées pour cause de données manquantes).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Incrémentation par tranches de 5 ans.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Le critère de jugement est le nombre total de cures reçues,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modélisé en comptage.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IRR : rapport du nombre moyen ; aIRR : rapport du nombre moyen ajusté ; IC95% : intervalle de confiance à 95%.</w:t>
                  </w:r>
                </w:p>
              </w:tc>
            </w:tr>
          </w:tbl>
          <w:bookmarkEnd w:id="56"/>
        </w:tc>
      </w:tr>
    </w:tbl>
    <w:p>
      <w:r>
        <w:br w:type="page"/>
      </w:r>
    </w:p>
    <w:bookmarkEnd w:id="57"/>
    <w:bookmarkStart w:id="59" w:name="estimation-de-la-survie-globale"/>
    <w:p>
      <w:pPr>
        <w:pStyle w:val="Titre2"/>
      </w:pPr>
      <w:r>
        <w:t xml:space="preserve">Estimation de la survie globale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coxp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11. Estimation de la survie globale, selon le protocole de chimiothérapie.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638" w:hRule="auto"/>
                <w:tblHeader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 </w:t>
                  </w:r>
                </w:p>
              </w:tc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Analyse univariable</w:t>
                  </w:r>
                </w:p>
              </w:tc>
              <w:tc>
                <w:tcPr>
                  <w:gridSpan w:val="3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Analyse multivariable</w:t>
                  </w:r>
                </w:p>
              </w:tc>
            </w:tr>
            <w:tr>
              <w:trPr>
                <w:trHeight w:val="638" w:hRule="auto"/>
                <w:tblHeader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HR [IC95%]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n/N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aHR [IC95%]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1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Protocole de chimiothérapie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0,35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0,050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Adjuvant seul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25/53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21/44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Péri-opératoire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21/50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0,76 [0,42 ; 1,37]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19/46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0,44 [0,19 ; 1,02]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Centre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0,51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0,58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Nantes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14/25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12/20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CHD Vendée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12/25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0,89 [0,41 ; 1,93]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11/22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0,81 [0,35 ; 1,89]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Angers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18/36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1,09 [0,54 ; 2,19]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15/33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1,08 [0,49 ; 2,38]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CHU Lyon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2/17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0,41 [0,09 ; 1,80]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2/15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0,43 [0,09 ; 1,97]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Âge au diagnostic, années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20"/>
                      <w:szCs w:val="20"/>
                      <w:color w:val="333333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46/103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1,09 [0,92 ; 1,29]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0,33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40/90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1,10 [0,91 ; 1,32]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0,32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PS au diagnostic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0,032</w:t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23/60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23/60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1-2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17/30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1,55 [0,82 ; 2,95]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17/30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2,45 [1,08 ; 5,59]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Résécabilité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0,71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Résécable d'emblée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28/62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Référence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0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Borderline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7/19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0,72 [0,31 ; 1,65]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3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333333"/>
                    </w:rPr>
                    <w:t xml:space="preserve">Localement avancé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8/17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>0,85 [0,38 ; 1,88]</w:t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333333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8" w:space="0" w:color="333333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0FA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single" w:sz="8" w:space="0" w:color="333333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Modèle de regression de Cox multivariable incluant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40 évènements pour 90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observations complètes (13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observations supprimées pour cause de données manquantes).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vertAlign w:val="superscript"/>
                      <w:sz w:val="16"/>
                      <w:szCs w:val="16"/>
                      <w:color w:val="333333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Incrémentation par tranches de 5 ans.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Le critère de jugement est la survie globale, définie par le délai entre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le diagnostic et le décès toutes causes. Les patients vivants sont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censurés à la date de point du centre.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7"/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both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60" w:before="60" w:line="240"/>
                    <w:ind w:left="100" w:right="100" w:firstLine="0" w:firstLineChars="0"/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Luciole" w:hAnsi="Luciole" w:eastAsia="Luciole" w:cs="Luciole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333333"/>
                    </w:rPr>
                    <w:t xml:space="preserve">HR : hazard ratio ; aHR : hazard ratio ajusté ; n/N : nombre d'évènements/nombre total d'observations ; IC95% : intervalle de confiance à 95%.</w:t>
                  </w:r>
                </w:p>
              </w:tc>
            </w:tr>
          </w:tbl>
          <w:bookmarkEnd w:id="58"/>
        </w:tc>
      </w:tr>
    </w:tbl>
    <w:bookmarkEnd w:id="59"/>
    <w:bookmarkEnd w:id="60"/>
    <w:sectPr w:rsidR="00C84070" w:rsidRPr="00C84070" w:rsidSect="00BC7ACD">
      <w:footerReference r:id="rId25" w:type="default"/>
      <w:pgSz w:h="16840" w:w="11900"/>
      <w:pgMar w:bottom="1417" w:footer="708" w:gutter="0" w:header="708" w:left="1417" w:right="1417" w:top="1417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4214229"/>
      <w:docPartObj>
        <w:docPartGallery w:val="Page Numbers (Bottom of Page)"/>
        <w:docPartUnique/>
      </w:docPartObj>
    </w:sdtPr>
    <w:sdtEndPr/>
    <w:sdtContent>
      <w:p w14:paraId="49CCCE39" w14:textId="77777777" w:rsidR="003B3367" w:rsidRDefault="003B336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p>
    </w:sdtContent>
  </w:sdt>
  <w:p w14:paraId="51102C62" w14:textId="77777777" w:rsidR="003B3367" w:rsidRDefault="003B336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4DC0A5C"/>
    <w:multiLevelType w:val="hybridMultilevel"/>
    <w:tmpl w:val="AA5AAA70"/>
    <w:lvl w:ilvl="0" w:tplc="BAE8F50E">
      <w:start w:val="1"/>
      <w:numFmt w:val="bullet"/>
      <w:lvlText w:val="-"/>
      <w:lvlJc w:val="left"/>
      <w:pPr>
        <w:ind w:hanging="360" w:left="720"/>
      </w:pPr>
      <w:rPr>
        <w:rFonts w:ascii="Arial" w:cs="Arial" w:eastAsiaTheme="minorEastAsia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01818E7"/>
    <w:multiLevelType w:val="hybridMultilevel"/>
    <w:tmpl w:val="FB8E061C"/>
    <w:lvl w:ilvl="0" w:tplc="D6EEF96A">
      <w:start w:val="1"/>
      <w:numFmt w:val="bullet"/>
      <w:lvlText w:val="-"/>
      <w:lvlJc w:val="left"/>
      <w:pPr>
        <w:ind w:hanging="360" w:left="720"/>
      </w:pPr>
      <w:rPr>
        <w:rFonts w:ascii="Arial" w:cs="Arial" w:eastAsiaTheme="minorEastAsia" w:hAnsi="Aria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26E36B9"/>
    <w:multiLevelType w:val="hybridMultilevel"/>
    <w:tmpl w:val="704EC2A0"/>
    <w:lvl w:ilvl="0" w:tplc="E7AEBAA0">
      <w:start w:val="1"/>
      <w:numFmt w:val="bullet"/>
      <w:pStyle w:val="aareferencebiblioul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33D063BB"/>
    <w:multiLevelType w:val="hybridMultilevel"/>
    <w:tmpl w:val="B4B079E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DDB48CB"/>
    <w:multiLevelType w:val="hybridMultilevel"/>
    <w:tmpl w:val="C7129EE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F527A05"/>
    <w:multiLevelType w:val="hybridMultilevel"/>
    <w:tmpl w:val="C848EAB2"/>
    <w:lvl w:ilvl="0" w:tplc="FF6425B4">
      <w:start w:val="101"/>
      <w:numFmt w:val="bullet"/>
      <w:lvlText w:val="-"/>
      <w:lvlJc w:val="left"/>
      <w:pPr>
        <w:ind w:hanging="360" w:left="720"/>
      </w:pPr>
      <w:rPr>
        <w:rFonts w:ascii="Arial" w:cs="Arial" w:eastAsiaTheme="minorEastAsia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50E52250"/>
    <w:multiLevelType w:val="hybridMultilevel"/>
    <w:tmpl w:val="67F216A6"/>
    <w:lvl w:ilvl="0" w:tplc="16143D56">
      <w:start w:val="1"/>
      <w:numFmt w:val="decimal"/>
      <w:pStyle w:val="aareferencebiblio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60FE408A"/>
    <w:multiLevelType w:val="hybridMultilevel"/>
    <w:tmpl w:val="78E0CE88"/>
    <w:lvl w:ilvl="0" w:tplc="D6EEF96A">
      <w:start w:val="1"/>
      <w:numFmt w:val="bullet"/>
      <w:lvlText w:val="-"/>
      <w:lvlJc w:val="left"/>
      <w:pPr>
        <w:ind w:hanging="360" w:left="720"/>
      </w:pPr>
      <w:rPr>
        <w:rFonts w:ascii="Arial" w:cs="Arial" w:eastAsiaTheme="minorEastAsia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696B7C68"/>
    <w:multiLevelType w:val="multilevel"/>
    <w:tmpl w:val="883025DE"/>
    <w:name w:val="Hiérarchie de titres Chazard"/>
    <w:lvl w:ilvl="0">
      <w:start w:val="1"/>
      <w:numFmt w:val="none"/>
      <w:pStyle w:val="Titre"/>
      <w:suff w:val="nothing"/>
      <w:lvlText w:val="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Titre1"/>
      <w:lvlText w:val="%1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Titre2"/>
      <w:lvlText w:val="%1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Titre3"/>
      <w:lvlText w:val="%1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Titre4"/>
      <w:lvlText w:val="%1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Titre5"/>
      <w:lvlText w:val="%1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Titre6"/>
      <w:lvlText w:val="%1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Titre7"/>
      <w:lvlText w:val="%1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Titre8"/>
      <w:lvlText w:val="%1%2.%3.%4.%5.%6.%7.%8.%9"/>
      <w:lvlJc w:val="left"/>
      <w:pPr>
        <w:ind w:hanging="1584" w:left="1584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displayBackgroundShape/>
  <w:embedSystemFonts/>
  <w:proofState w:grammar="clean" w:spelling="clean"/>
  <w:stylePaneFormatFilter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1021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A6"/>
    <w:rsid w:val="000007F1"/>
    <w:rsid w:val="000046D0"/>
    <w:rsid w:val="00004848"/>
    <w:rsid w:val="00010DFD"/>
    <w:rsid w:val="00013237"/>
    <w:rsid w:val="00026A85"/>
    <w:rsid w:val="0002744F"/>
    <w:rsid w:val="00032615"/>
    <w:rsid w:val="0003485A"/>
    <w:rsid w:val="0003783C"/>
    <w:rsid w:val="00041A0B"/>
    <w:rsid w:val="00042989"/>
    <w:rsid w:val="0004648B"/>
    <w:rsid w:val="00046F6D"/>
    <w:rsid w:val="00053909"/>
    <w:rsid w:val="00055B80"/>
    <w:rsid w:val="000567ED"/>
    <w:rsid w:val="00057ACB"/>
    <w:rsid w:val="00057FBA"/>
    <w:rsid w:val="000647D9"/>
    <w:rsid w:val="00065BB0"/>
    <w:rsid w:val="000662E3"/>
    <w:rsid w:val="00070D3B"/>
    <w:rsid w:val="00073481"/>
    <w:rsid w:val="00085BC9"/>
    <w:rsid w:val="00087DE0"/>
    <w:rsid w:val="00087F50"/>
    <w:rsid w:val="00090E2C"/>
    <w:rsid w:val="00093976"/>
    <w:rsid w:val="0009644F"/>
    <w:rsid w:val="000B07BF"/>
    <w:rsid w:val="000C094E"/>
    <w:rsid w:val="000C09D6"/>
    <w:rsid w:val="000C2C82"/>
    <w:rsid w:val="000D1335"/>
    <w:rsid w:val="000D19EB"/>
    <w:rsid w:val="000D29BE"/>
    <w:rsid w:val="000D3BCB"/>
    <w:rsid w:val="000D4503"/>
    <w:rsid w:val="000E0F17"/>
    <w:rsid w:val="000E6D64"/>
    <w:rsid w:val="000E736A"/>
    <w:rsid w:val="000F14FF"/>
    <w:rsid w:val="00106A81"/>
    <w:rsid w:val="001109A9"/>
    <w:rsid w:val="001122EC"/>
    <w:rsid w:val="00114407"/>
    <w:rsid w:val="00116D03"/>
    <w:rsid w:val="00117B86"/>
    <w:rsid w:val="0012076A"/>
    <w:rsid w:val="00133DFD"/>
    <w:rsid w:val="00133F61"/>
    <w:rsid w:val="0013703B"/>
    <w:rsid w:val="00140A55"/>
    <w:rsid w:val="001421EE"/>
    <w:rsid w:val="00142C55"/>
    <w:rsid w:val="00145951"/>
    <w:rsid w:val="00150045"/>
    <w:rsid w:val="001538F1"/>
    <w:rsid w:val="00167E65"/>
    <w:rsid w:val="001744EF"/>
    <w:rsid w:val="00175825"/>
    <w:rsid w:val="00180783"/>
    <w:rsid w:val="001823B8"/>
    <w:rsid w:val="00182E06"/>
    <w:rsid w:val="0019023E"/>
    <w:rsid w:val="001914E7"/>
    <w:rsid w:val="00192A1E"/>
    <w:rsid w:val="00194F5D"/>
    <w:rsid w:val="001A1C0A"/>
    <w:rsid w:val="001A3D3B"/>
    <w:rsid w:val="001A6486"/>
    <w:rsid w:val="001C0CAA"/>
    <w:rsid w:val="001C64C9"/>
    <w:rsid w:val="001C69C2"/>
    <w:rsid w:val="001C6B38"/>
    <w:rsid w:val="001C773A"/>
    <w:rsid w:val="001D02A9"/>
    <w:rsid w:val="001D0579"/>
    <w:rsid w:val="001D2D3F"/>
    <w:rsid w:val="001D5642"/>
    <w:rsid w:val="001E0AA4"/>
    <w:rsid w:val="001E1943"/>
    <w:rsid w:val="001E20EF"/>
    <w:rsid w:val="001E21D3"/>
    <w:rsid w:val="001E3EEF"/>
    <w:rsid w:val="001E42BD"/>
    <w:rsid w:val="001F033B"/>
    <w:rsid w:val="001F1E43"/>
    <w:rsid w:val="001F3DD0"/>
    <w:rsid w:val="0020083B"/>
    <w:rsid w:val="002040FA"/>
    <w:rsid w:val="00211F05"/>
    <w:rsid w:val="00215198"/>
    <w:rsid w:val="002217FC"/>
    <w:rsid w:val="00225B71"/>
    <w:rsid w:val="00232524"/>
    <w:rsid w:val="00232566"/>
    <w:rsid w:val="00232ADD"/>
    <w:rsid w:val="002335BD"/>
    <w:rsid w:val="002339A1"/>
    <w:rsid w:val="002350DD"/>
    <w:rsid w:val="0023688D"/>
    <w:rsid w:val="00243273"/>
    <w:rsid w:val="00244724"/>
    <w:rsid w:val="002479DB"/>
    <w:rsid w:val="002535EF"/>
    <w:rsid w:val="0025535D"/>
    <w:rsid w:val="0026118A"/>
    <w:rsid w:val="00263AD5"/>
    <w:rsid w:val="002642DB"/>
    <w:rsid w:val="00264EEA"/>
    <w:rsid w:val="00265862"/>
    <w:rsid w:val="00272BE1"/>
    <w:rsid w:val="00277E7D"/>
    <w:rsid w:val="00283BD3"/>
    <w:rsid w:val="00295E7F"/>
    <w:rsid w:val="002A6282"/>
    <w:rsid w:val="002A79DE"/>
    <w:rsid w:val="002B058E"/>
    <w:rsid w:val="002B0E96"/>
    <w:rsid w:val="002B31C7"/>
    <w:rsid w:val="002B4B0C"/>
    <w:rsid w:val="002B5C2F"/>
    <w:rsid w:val="002C0D59"/>
    <w:rsid w:val="002C517A"/>
    <w:rsid w:val="002C5828"/>
    <w:rsid w:val="002C690B"/>
    <w:rsid w:val="002D3622"/>
    <w:rsid w:val="002D3A51"/>
    <w:rsid w:val="002D6A74"/>
    <w:rsid w:val="002E706A"/>
    <w:rsid w:val="002F415B"/>
    <w:rsid w:val="002F691C"/>
    <w:rsid w:val="0030229C"/>
    <w:rsid w:val="003026D4"/>
    <w:rsid w:val="003035C6"/>
    <w:rsid w:val="00314850"/>
    <w:rsid w:val="00321B27"/>
    <w:rsid w:val="00322500"/>
    <w:rsid w:val="0032383D"/>
    <w:rsid w:val="00330947"/>
    <w:rsid w:val="0033389B"/>
    <w:rsid w:val="00334008"/>
    <w:rsid w:val="003346EC"/>
    <w:rsid w:val="00343572"/>
    <w:rsid w:val="00343E5D"/>
    <w:rsid w:val="00351220"/>
    <w:rsid w:val="00353C50"/>
    <w:rsid w:val="00361C7D"/>
    <w:rsid w:val="003718E3"/>
    <w:rsid w:val="003724F1"/>
    <w:rsid w:val="00374356"/>
    <w:rsid w:val="0038113A"/>
    <w:rsid w:val="003849DD"/>
    <w:rsid w:val="00386487"/>
    <w:rsid w:val="0038655D"/>
    <w:rsid w:val="00387181"/>
    <w:rsid w:val="003923CF"/>
    <w:rsid w:val="003928BA"/>
    <w:rsid w:val="00393008"/>
    <w:rsid w:val="00394833"/>
    <w:rsid w:val="0039667D"/>
    <w:rsid w:val="00396ABE"/>
    <w:rsid w:val="003A04E3"/>
    <w:rsid w:val="003A0F55"/>
    <w:rsid w:val="003B3367"/>
    <w:rsid w:val="003C0516"/>
    <w:rsid w:val="003C178E"/>
    <w:rsid w:val="003D116D"/>
    <w:rsid w:val="003D2878"/>
    <w:rsid w:val="003D3868"/>
    <w:rsid w:val="003D5EF1"/>
    <w:rsid w:val="003D6B5E"/>
    <w:rsid w:val="003E3379"/>
    <w:rsid w:val="003E3965"/>
    <w:rsid w:val="003E628B"/>
    <w:rsid w:val="003F39DE"/>
    <w:rsid w:val="003F5520"/>
    <w:rsid w:val="003F5FF4"/>
    <w:rsid w:val="00400B47"/>
    <w:rsid w:val="004026E4"/>
    <w:rsid w:val="0040482A"/>
    <w:rsid w:val="00404F6E"/>
    <w:rsid w:val="004107E7"/>
    <w:rsid w:val="00414BA0"/>
    <w:rsid w:val="004150A0"/>
    <w:rsid w:val="00416F4E"/>
    <w:rsid w:val="0042137D"/>
    <w:rsid w:val="004224E6"/>
    <w:rsid w:val="0042666A"/>
    <w:rsid w:val="00431620"/>
    <w:rsid w:val="00432A9E"/>
    <w:rsid w:val="0043526D"/>
    <w:rsid w:val="004370C4"/>
    <w:rsid w:val="00437BF1"/>
    <w:rsid w:val="00443D9D"/>
    <w:rsid w:val="00443EC9"/>
    <w:rsid w:val="00446754"/>
    <w:rsid w:val="0044729F"/>
    <w:rsid w:val="00452715"/>
    <w:rsid w:val="00453190"/>
    <w:rsid w:val="004552A8"/>
    <w:rsid w:val="00457C08"/>
    <w:rsid w:val="004647CC"/>
    <w:rsid w:val="00475199"/>
    <w:rsid w:val="00475B9D"/>
    <w:rsid w:val="004763EC"/>
    <w:rsid w:val="00476592"/>
    <w:rsid w:val="0048432C"/>
    <w:rsid w:val="004873FD"/>
    <w:rsid w:val="00493FE4"/>
    <w:rsid w:val="004A5085"/>
    <w:rsid w:val="004A7D88"/>
    <w:rsid w:val="004B134E"/>
    <w:rsid w:val="004B395C"/>
    <w:rsid w:val="004B5509"/>
    <w:rsid w:val="004C0D17"/>
    <w:rsid w:val="004C4C29"/>
    <w:rsid w:val="004C5AAB"/>
    <w:rsid w:val="004C7839"/>
    <w:rsid w:val="004C7CA1"/>
    <w:rsid w:val="004C7D55"/>
    <w:rsid w:val="004D1A50"/>
    <w:rsid w:val="004D268E"/>
    <w:rsid w:val="004E1C77"/>
    <w:rsid w:val="004E673E"/>
    <w:rsid w:val="004F4A3B"/>
    <w:rsid w:val="004F5BE4"/>
    <w:rsid w:val="004F5C16"/>
    <w:rsid w:val="004F6F4F"/>
    <w:rsid w:val="005016FC"/>
    <w:rsid w:val="00501D55"/>
    <w:rsid w:val="00501E07"/>
    <w:rsid w:val="00502A77"/>
    <w:rsid w:val="00504603"/>
    <w:rsid w:val="005062E5"/>
    <w:rsid w:val="00507AA8"/>
    <w:rsid w:val="00515C9D"/>
    <w:rsid w:val="00524EEA"/>
    <w:rsid w:val="005254F6"/>
    <w:rsid w:val="005301E4"/>
    <w:rsid w:val="005338B9"/>
    <w:rsid w:val="00537185"/>
    <w:rsid w:val="0054227F"/>
    <w:rsid w:val="00543165"/>
    <w:rsid w:val="0054325A"/>
    <w:rsid w:val="00543A2E"/>
    <w:rsid w:val="005520DD"/>
    <w:rsid w:val="00552829"/>
    <w:rsid w:val="005575B4"/>
    <w:rsid w:val="00561A97"/>
    <w:rsid w:val="00562B1A"/>
    <w:rsid w:val="00565724"/>
    <w:rsid w:val="00566846"/>
    <w:rsid w:val="00566A47"/>
    <w:rsid w:val="00572283"/>
    <w:rsid w:val="0057311B"/>
    <w:rsid w:val="0057389F"/>
    <w:rsid w:val="0057525A"/>
    <w:rsid w:val="0057725A"/>
    <w:rsid w:val="00581D63"/>
    <w:rsid w:val="0058206F"/>
    <w:rsid w:val="00586AE2"/>
    <w:rsid w:val="00592C73"/>
    <w:rsid w:val="005A1A88"/>
    <w:rsid w:val="005A44A7"/>
    <w:rsid w:val="005A47B7"/>
    <w:rsid w:val="005A66CE"/>
    <w:rsid w:val="005B0F65"/>
    <w:rsid w:val="005B1A49"/>
    <w:rsid w:val="005B1F4C"/>
    <w:rsid w:val="005C5127"/>
    <w:rsid w:val="005D17EE"/>
    <w:rsid w:val="005D2618"/>
    <w:rsid w:val="005D6B29"/>
    <w:rsid w:val="005D7490"/>
    <w:rsid w:val="005E26F0"/>
    <w:rsid w:val="005E3525"/>
    <w:rsid w:val="005E3990"/>
    <w:rsid w:val="005E4E1E"/>
    <w:rsid w:val="005E6457"/>
    <w:rsid w:val="005F45F5"/>
    <w:rsid w:val="005F6BA9"/>
    <w:rsid w:val="006039E5"/>
    <w:rsid w:val="00614A6B"/>
    <w:rsid w:val="00621B5B"/>
    <w:rsid w:val="00623977"/>
    <w:rsid w:val="00630D10"/>
    <w:rsid w:val="0063246A"/>
    <w:rsid w:val="0064127F"/>
    <w:rsid w:val="006479E0"/>
    <w:rsid w:val="00656206"/>
    <w:rsid w:val="00656629"/>
    <w:rsid w:val="0065747A"/>
    <w:rsid w:val="00662210"/>
    <w:rsid w:val="0066302D"/>
    <w:rsid w:val="006630E5"/>
    <w:rsid w:val="00666A8E"/>
    <w:rsid w:val="0067029D"/>
    <w:rsid w:val="00677124"/>
    <w:rsid w:val="00677872"/>
    <w:rsid w:val="00681486"/>
    <w:rsid w:val="006826A2"/>
    <w:rsid w:val="00683EE6"/>
    <w:rsid w:val="00695847"/>
    <w:rsid w:val="00697649"/>
    <w:rsid w:val="006A076E"/>
    <w:rsid w:val="006A1779"/>
    <w:rsid w:val="006A660B"/>
    <w:rsid w:val="006A7C2D"/>
    <w:rsid w:val="006B300F"/>
    <w:rsid w:val="006B448A"/>
    <w:rsid w:val="006B6135"/>
    <w:rsid w:val="006C399E"/>
    <w:rsid w:val="006C542E"/>
    <w:rsid w:val="006C7CB0"/>
    <w:rsid w:val="006D0A80"/>
    <w:rsid w:val="006D1084"/>
    <w:rsid w:val="006D16ED"/>
    <w:rsid w:val="006D400D"/>
    <w:rsid w:val="006D7097"/>
    <w:rsid w:val="006E00B8"/>
    <w:rsid w:val="006E017C"/>
    <w:rsid w:val="006E466E"/>
    <w:rsid w:val="006E4DF8"/>
    <w:rsid w:val="006F4BA7"/>
    <w:rsid w:val="006F6138"/>
    <w:rsid w:val="00702563"/>
    <w:rsid w:val="007069CE"/>
    <w:rsid w:val="0071182E"/>
    <w:rsid w:val="00711BF0"/>
    <w:rsid w:val="007154D7"/>
    <w:rsid w:val="00715CB1"/>
    <w:rsid w:val="00724449"/>
    <w:rsid w:val="007247BF"/>
    <w:rsid w:val="00726C97"/>
    <w:rsid w:val="00733175"/>
    <w:rsid w:val="007406E0"/>
    <w:rsid w:val="00740F0F"/>
    <w:rsid w:val="00741839"/>
    <w:rsid w:val="007457BB"/>
    <w:rsid w:val="00747BFC"/>
    <w:rsid w:val="00750440"/>
    <w:rsid w:val="00754AEF"/>
    <w:rsid w:val="00754F97"/>
    <w:rsid w:val="007645A7"/>
    <w:rsid w:val="0076799B"/>
    <w:rsid w:val="00772D25"/>
    <w:rsid w:val="00784775"/>
    <w:rsid w:val="00791710"/>
    <w:rsid w:val="00791F0E"/>
    <w:rsid w:val="00794787"/>
    <w:rsid w:val="007A36F8"/>
    <w:rsid w:val="007A523C"/>
    <w:rsid w:val="007B18D7"/>
    <w:rsid w:val="007B1E77"/>
    <w:rsid w:val="007B332B"/>
    <w:rsid w:val="007C7F99"/>
    <w:rsid w:val="007D1316"/>
    <w:rsid w:val="007D4B2C"/>
    <w:rsid w:val="007D6A1F"/>
    <w:rsid w:val="007D705C"/>
    <w:rsid w:val="007E19D1"/>
    <w:rsid w:val="007E3D8D"/>
    <w:rsid w:val="007E4DDC"/>
    <w:rsid w:val="007E6DAC"/>
    <w:rsid w:val="007F0F1A"/>
    <w:rsid w:val="007F1A1B"/>
    <w:rsid w:val="007F24FA"/>
    <w:rsid w:val="007F2BBC"/>
    <w:rsid w:val="007F4EAE"/>
    <w:rsid w:val="007F5A75"/>
    <w:rsid w:val="007F6F5F"/>
    <w:rsid w:val="008002E9"/>
    <w:rsid w:val="00802425"/>
    <w:rsid w:val="00803AF0"/>
    <w:rsid w:val="00811D94"/>
    <w:rsid w:val="00814236"/>
    <w:rsid w:val="00823DE5"/>
    <w:rsid w:val="00824503"/>
    <w:rsid w:val="00824F57"/>
    <w:rsid w:val="00825473"/>
    <w:rsid w:val="00834BBF"/>
    <w:rsid w:val="0083684B"/>
    <w:rsid w:val="00836EA4"/>
    <w:rsid w:val="00837FB0"/>
    <w:rsid w:val="008441F8"/>
    <w:rsid w:val="00851882"/>
    <w:rsid w:val="00851DE4"/>
    <w:rsid w:val="00862585"/>
    <w:rsid w:val="00863788"/>
    <w:rsid w:val="00870190"/>
    <w:rsid w:val="008766B4"/>
    <w:rsid w:val="008851F2"/>
    <w:rsid w:val="008853CF"/>
    <w:rsid w:val="008A199D"/>
    <w:rsid w:val="008A1EE3"/>
    <w:rsid w:val="008A3A19"/>
    <w:rsid w:val="008A5110"/>
    <w:rsid w:val="008A5CED"/>
    <w:rsid w:val="008B33F6"/>
    <w:rsid w:val="008B47EE"/>
    <w:rsid w:val="008B4E97"/>
    <w:rsid w:val="008B4FF8"/>
    <w:rsid w:val="008C06FD"/>
    <w:rsid w:val="008C4A11"/>
    <w:rsid w:val="008C66FE"/>
    <w:rsid w:val="008D0CBF"/>
    <w:rsid w:val="008D0EDB"/>
    <w:rsid w:val="008D3B4B"/>
    <w:rsid w:val="008D438B"/>
    <w:rsid w:val="008D7A6F"/>
    <w:rsid w:val="008D7E3C"/>
    <w:rsid w:val="008E026E"/>
    <w:rsid w:val="008E0BCE"/>
    <w:rsid w:val="008F02BA"/>
    <w:rsid w:val="008F2594"/>
    <w:rsid w:val="008F443F"/>
    <w:rsid w:val="00900EAF"/>
    <w:rsid w:val="00902B48"/>
    <w:rsid w:val="009068A0"/>
    <w:rsid w:val="0091116B"/>
    <w:rsid w:val="00913AA0"/>
    <w:rsid w:val="009150DF"/>
    <w:rsid w:val="009152B3"/>
    <w:rsid w:val="0091625F"/>
    <w:rsid w:val="00921468"/>
    <w:rsid w:val="00927EEA"/>
    <w:rsid w:val="00934D9E"/>
    <w:rsid w:val="00937F98"/>
    <w:rsid w:val="00942107"/>
    <w:rsid w:val="00942713"/>
    <w:rsid w:val="00945A92"/>
    <w:rsid w:val="009517A9"/>
    <w:rsid w:val="0095514E"/>
    <w:rsid w:val="00957D58"/>
    <w:rsid w:val="00960296"/>
    <w:rsid w:val="0096169C"/>
    <w:rsid w:val="00961ED0"/>
    <w:rsid w:val="0096240A"/>
    <w:rsid w:val="009638D0"/>
    <w:rsid w:val="0096435B"/>
    <w:rsid w:val="00977755"/>
    <w:rsid w:val="009811DF"/>
    <w:rsid w:val="00981543"/>
    <w:rsid w:val="0098653E"/>
    <w:rsid w:val="00987A83"/>
    <w:rsid w:val="009906CA"/>
    <w:rsid w:val="00991240"/>
    <w:rsid w:val="00994E97"/>
    <w:rsid w:val="00994EBB"/>
    <w:rsid w:val="009A24F2"/>
    <w:rsid w:val="009A2515"/>
    <w:rsid w:val="009A655A"/>
    <w:rsid w:val="009B1999"/>
    <w:rsid w:val="009B2394"/>
    <w:rsid w:val="009B2CB0"/>
    <w:rsid w:val="009B4E4D"/>
    <w:rsid w:val="009B50DF"/>
    <w:rsid w:val="009B660F"/>
    <w:rsid w:val="009C2F6C"/>
    <w:rsid w:val="009C4BFB"/>
    <w:rsid w:val="009C6337"/>
    <w:rsid w:val="009C7895"/>
    <w:rsid w:val="009D0C8D"/>
    <w:rsid w:val="009D7BFE"/>
    <w:rsid w:val="009E48A5"/>
    <w:rsid w:val="009E6814"/>
    <w:rsid w:val="009F1B9A"/>
    <w:rsid w:val="009F2844"/>
    <w:rsid w:val="009F41FA"/>
    <w:rsid w:val="009F513E"/>
    <w:rsid w:val="00A24527"/>
    <w:rsid w:val="00A304A4"/>
    <w:rsid w:val="00A33057"/>
    <w:rsid w:val="00A351C0"/>
    <w:rsid w:val="00A40452"/>
    <w:rsid w:val="00A40EDB"/>
    <w:rsid w:val="00A5309C"/>
    <w:rsid w:val="00A547A3"/>
    <w:rsid w:val="00A6047F"/>
    <w:rsid w:val="00A64CB8"/>
    <w:rsid w:val="00A70DC1"/>
    <w:rsid w:val="00A71074"/>
    <w:rsid w:val="00A80BB0"/>
    <w:rsid w:val="00A81D66"/>
    <w:rsid w:val="00A81FCA"/>
    <w:rsid w:val="00A86773"/>
    <w:rsid w:val="00A901AB"/>
    <w:rsid w:val="00A93BC8"/>
    <w:rsid w:val="00A94DA6"/>
    <w:rsid w:val="00A96B54"/>
    <w:rsid w:val="00AA340D"/>
    <w:rsid w:val="00AA381B"/>
    <w:rsid w:val="00AA5A3D"/>
    <w:rsid w:val="00AB40D7"/>
    <w:rsid w:val="00AC60B9"/>
    <w:rsid w:val="00AD0370"/>
    <w:rsid w:val="00AD094E"/>
    <w:rsid w:val="00AD11B0"/>
    <w:rsid w:val="00AD1A66"/>
    <w:rsid w:val="00AD2AA7"/>
    <w:rsid w:val="00AD3827"/>
    <w:rsid w:val="00AD7D7B"/>
    <w:rsid w:val="00AE0614"/>
    <w:rsid w:val="00AE1BFF"/>
    <w:rsid w:val="00AE4A28"/>
    <w:rsid w:val="00AE5962"/>
    <w:rsid w:val="00AF5591"/>
    <w:rsid w:val="00AF56A1"/>
    <w:rsid w:val="00AF5EC0"/>
    <w:rsid w:val="00B03827"/>
    <w:rsid w:val="00B0450C"/>
    <w:rsid w:val="00B060CD"/>
    <w:rsid w:val="00B069F0"/>
    <w:rsid w:val="00B109C3"/>
    <w:rsid w:val="00B1538A"/>
    <w:rsid w:val="00B406F7"/>
    <w:rsid w:val="00B46E4B"/>
    <w:rsid w:val="00B5455A"/>
    <w:rsid w:val="00B60EA6"/>
    <w:rsid w:val="00B6718B"/>
    <w:rsid w:val="00B71019"/>
    <w:rsid w:val="00B714C0"/>
    <w:rsid w:val="00B76181"/>
    <w:rsid w:val="00B765B7"/>
    <w:rsid w:val="00B8073A"/>
    <w:rsid w:val="00B83523"/>
    <w:rsid w:val="00B91DE9"/>
    <w:rsid w:val="00B9400E"/>
    <w:rsid w:val="00BA0496"/>
    <w:rsid w:val="00BA59D4"/>
    <w:rsid w:val="00BB6094"/>
    <w:rsid w:val="00BC0598"/>
    <w:rsid w:val="00BC1B2C"/>
    <w:rsid w:val="00BC52B8"/>
    <w:rsid w:val="00BC62EF"/>
    <w:rsid w:val="00BC7ACD"/>
    <w:rsid w:val="00BD1464"/>
    <w:rsid w:val="00BD28EA"/>
    <w:rsid w:val="00BD458F"/>
    <w:rsid w:val="00BD731F"/>
    <w:rsid w:val="00BE086A"/>
    <w:rsid w:val="00BE671D"/>
    <w:rsid w:val="00BF37A9"/>
    <w:rsid w:val="00BF4881"/>
    <w:rsid w:val="00C12630"/>
    <w:rsid w:val="00C16F30"/>
    <w:rsid w:val="00C17CA3"/>
    <w:rsid w:val="00C222B8"/>
    <w:rsid w:val="00C23587"/>
    <w:rsid w:val="00C24962"/>
    <w:rsid w:val="00C302D9"/>
    <w:rsid w:val="00C326C8"/>
    <w:rsid w:val="00C33E68"/>
    <w:rsid w:val="00C34225"/>
    <w:rsid w:val="00C35AB3"/>
    <w:rsid w:val="00C410E1"/>
    <w:rsid w:val="00C42A45"/>
    <w:rsid w:val="00C6141B"/>
    <w:rsid w:val="00C61CC2"/>
    <w:rsid w:val="00C6662D"/>
    <w:rsid w:val="00C7109D"/>
    <w:rsid w:val="00C71612"/>
    <w:rsid w:val="00C77772"/>
    <w:rsid w:val="00C84070"/>
    <w:rsid w:val="00C84287"/>
    <w:rsid w:val="00C87FB3"/>
    <w:rsid w:val="00C907D8"/>
    <w:rsid w:val="00C92EE1"/>
    <w:rsid w:val="00C9395C"/>
    <w:rsid w:val="00C97882"/>
    <w:rsid w:val="00CA57C4"/>
    <w:rsid w:val="00CA75F0"/>
    <w:rsid w:val="00CA7A94"/>
    <w:rsid w:val="00CB1FC7"/>
    <w:rsid w:val="00CB5103"/>
    <w:rsid w:val="00CC313C"/>
    <w:rsid w:val="00CC6B1C"/>
    <w:rsid w:val="00CC6EA9"/>
    <w:rsid w:val="00CC7951"/>
    <w:rsid w:val="00CD21AB"/>
    <w:rsid w:val="00CD7C11"/>
    <w:rsid w:val="00CE2777"/>
    <w:rsid w:val="00CF5AA0"/>
    <w:rsid w:val="00D00F9A"/>
    <w:rsid w:val="00D03636"/>
    <w:rsid w:val="00D067DD"/>
    <w:rsid w:val="00D06EE6"/>
    <w:rsid w:val="00D073E2"/>
    <w:rsid w:val="00D106EF"/>
    <w:rsid w:val="00D11CA5"/>
    <w:rsid w:val="00D14368"/>
    <w:rsid w:val="00D16EE9"/>
    <w:rsid w:val="00D268B4"/>
    <w:rsid w:val="00D37246"/>
    <w:rsid w:val="00D3782D"/>
    <w:rsid w:val="00D426DF"/>
    <w:rsid w:val="00D42EEE"/>
    <w:rsid w:val="00D45952"/>
    <w:rsid w:val="00D509CD"/>
    <w:rsid w:val="00D54EA2"/>
    <w:rsid w:val="00D563BF"/>
    <w:rsid w:val="00D6128C"/>
    <w:rsid w:val="00D61E29"/>
    <w:rsid w:val="00D622AB"/>
    <w:rsid w:val="00D62B54"/>
    <w:rsid w:val="00D6373E"/>
    <w:rsid w:val="00D63B85"/>
    <w:rsid w:val="00D64F5C"/>
    <w:rsid w:val="00D843AF"/>
    <w:rsid w:val="00D85740"/>
    <w:rsid w:val="00D86091"/>
    <w:rsid w:val="00D915AA"/>
    <w:rsid w:val="00D916AA"/>
    <w:rsid w:val="00D93932"/>
    <w:rsid w:val="00D951F3"/>
    <w:rsid w:val="00DA0C49"/>
    <w:rsid w:val="00DA3A34"/>
    <w:rsid w:val="00DA55D3"/>
    <w:rsid w:val="00DB0B6E"/>
    <w:rsid w:val="00DB2795"/>
    <w:rsid w:val="00DB3F53"/>
    <w:rsid w:val="00DB764F"/>
    <w:rsid w:val="00DC1EC5"/>
    <w:rsid w:val="00DC27F1"/>
    <w:rsid w:val="00DC565E"/>
    <w:rsid w:val="00DC75E0"/>
    <w:rsid w:val="00DD51F6"/>
    <w:rsid w:val="00DD58D8"/>
    <w:rsid w:val="00DE0C3B"/>
    <w:rsid w:val="00DE54EF"/>
    <w:rsid w:val="00DF0057"/>
    <w:rsid w:val="00DF0060"/>
    <w:rsid w:val="00DF0D66"/>
    <w:rsid w:val="00DF2ED0"/>
    <w:rsid w:val="00DF45EE"/>
    <w:rsid w:val="00DF4E43"/>
    <w:rsid w:val="00DF6CF5"/>
    <w:rsid w:val="00E01309"/>
    <w:rsid w:val="00E044D4"/>
    <w:rsid w:val="00E04AA6"/>
    <w:rsid w:val="00E0509B"/>
    <w:rsid w:val="00E10A04"/>
    <w:rsid w:val="00E14AB4"/>
    <w:rsid w:val="00E14E20"/>
    <w:rsid w:val="00E16F64"/>
    <w:rsid w:val="00E20FD4"/>
    <w:rsid w:val="00E21769"/>
    <w:rsid w:val="00E25245"/>
    <w:rsid w:val="00E25DA2"/>
    <w:rsid w:val="00E271D3"/>
    <w:rsid w:val="00E30F0C"/>
    <w:rsid w:val="00E31724"/>
    <w:rsid w:val="00E335D7"/>
    <w:rsid w:val="00E33FE8"/>
    <w:rsid w:val="00E420D9"/>
    <w:rsid w:val="00E42792"/>
    <w:rsid w:val="00E42B08"/>
    <w:rsid w:val="00E4443E"/>
    <w:rsid w:val="00E5162B"/>
    <w:rsid w:val="00E5357B"/>
    <w:rsid w:val="00E556DF"/>
    <w:rsid w:val="00E57D93"/>
    <w:rsid w:val="00E60DAF"/>
    <w:rsid w:val="00E630A2"/>
    <w:rsid w:val="00E71F8B"/>
    <w:rsid w:val="00E72043"/>
    <w:rsid w:val="00E72C12"/>
    <w:rsid w:val="00E8019A"/>
    <w:rsid w:val="00E81D44"/>
    <w:rsid w:val="00E82BB7"/>
    <w:rsid w:val="00E83266"/>
    <w:rsid w:val="00E838DB"/>
    <w:rsid w:val="00E900B5"/>
    <w:rsid w:val="00EB3EA6"/>
    <w:rsid w:val="00EB4B1E"/>
    <w:rsid w:val="00EB5702"/>
    <w:rsid w:val="00EB62ED"/>
    <w:rsid w:val="00EC46D6"/>
    <w:rsid w:val="00EC6FBB"/>
    <w:rsid w:val="00ED329A"/>
    <w:rsid w:val="00ED5647"/>
    <w:rsid w:val="00EE4F91"/>
    <w:rsid w:val="00EF0177"/>
    <w:rsid w:val="00EF26F8"/>
    <w:rsid w:val="00EF3495"/>
    <w:rsid w:val="00F00884"/>
    <w:rsid w:val="00F00E72"/>
    <w:rsid w:val="00F0404F"/>
    <w:rsid w:val="00F066DD"/>
    <w:rsid w:val="00F079D0"/>
    <w:rsid w:val="00F113E8"/>
    <w:rsid w:val="00F1371F"/>
    <w:rsid w:val="00F2076D"/>
    <w:rsid w:val="00F20D38"/>
    <w:rsid w:val="00F24900"/>
    <w:rsid w:val="00F270F4"/>
    <w:rsid w:val="00F3418E"/>
    <w:rsid w:val="00F369B0"/>
    <w:rsid w:val="00F377A3"/>
    <w:rsid w:val="00F45016"/>
    <w:rsid w:val="00F51289"/>
    <w:rsid w:val="00F51556"/>
    <w:rsid w:val="00F57FD9"/>
    <w:rsid w:val="00F6554B"/>
    <w:rsid w:val="00F6559C"/>
    <w:rsid w:val="00F76E79"/>
    <w:rsid w:val="00F832E2"/>
    <w:rsid w:val="00F85A30"/>
    <w:rsid w:val="00F91704"/>
    <w:rsid w:val="00F92374"/>
    <w:rsid w:val="00FB1712"/>
    <w:rsid w:val="00FB4D89"/>
    <w:rsid w:val="00FB54FD"/>
    <w:rsid w:val="00FB6B78"/>
    <w:rsid w:val="00FC0728"/>
    <w:rsid w:val="00FC099F"/>
    <w:rsid w:val="00FC09BD"/>
    <w:rsid w:val="00FC2638"/>
    <w:rsid w:val="00FC3614"/>
    <w:rsid w:val="00FC39E7"/>
    <w:rsid w:val="00FC4A7D"/>
    <w:rsid w:val="00FC5FDD"/>
    <w:rsid w:val="00FC6DFD"/>
    <w:rsid w:val="00FC71CD"/>
    <w:rsid w:val="00FD02C3"/>
    <w:rsid w:val="00FD1D0F"/>
    <w:rsid w:val="00FD2231"/>
    <w:rsid w:val="00FD37CD"/>
    <w:rsid w:val="00FD44D6"/>
    <w:rsid w:val="00FE1E15"/>
    <w:rsid w:val="00FE2B82"/>
    <w:rsid w:val="00FE356B"/>
    <w:rsid w:val="00FE4E0E"/>
    <w:rsid w:val="00FF061B"/>
    <w:rsid w:val="00FF133F"/>
    <w:rsid w:val="00FF1C80"/>
    <w:rsid w:val="00FF2353"/>
    <w:rsid w:val="00FF5C21"/>
  </w:rsids>
  <w:themeFontLang w:eastAsia="ja-JP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fr-FR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C7D55"/>
    <w:pPr>
      <w:spacing w:after="120" w:before="120"/>
      <w:jc w:val="both"/>
    </w:pPr>
    <w:rPr>
      <w:rFonts w:ascii="Arial" w:hAnsi="Arial"/>
    </w:rPr>
  </w:style>
  <w:style w:styleId="Titre1" w:type="paragraph">
    <w:name w:val="heading 1"/>
    <w:basedOn w:val="Normal"/>
    <w:next w:val="Normal"/>
    <w:link w:val="Titre1Car"/>
    <w:uiPriority w:val="9"/>
    <w:qFormat/>
    <w:rsid w:val="00E82BB7"/>
    <w:pPr>
      <w:keepNext/>
      <w:keepLines/>
      <w:numPr>
        <w:ilvl w:val="1"/>
        <w:numId w:val="4"/>
      </w:numPr>
      <w:spacing w:after="320" w:before="480"/>
      <w:jc w:val="left"/>
      <w:outlineLvl w:val="0"/>
    </w:pPr>
    <w:rPr>
      <w:rFonts w:cstheme="majorBidi" w:eastAsiaTheme="majorEastAsia"/>
      <w:b/>
      <w:bCs/>
      <w:color w:val="1B4377"/>
      <w:sz w:val="32"/>
      <w:szCs w:val="32"/>
    </w:rPr>
  </w:style>
  <w:style w:styleId="Titre2" w:type="paragraph">
    <w:name w:val="heading 2"/>
    <w:basedOn w:val="Normal"/>
    <w:next w:val="Normal"/>
    <w:link w:val="Titre2Car"/>
    <w:uiPriority w:val="9"/>
    <w:qFormat/>
    <w:rsid w:val="00272BE1"/>
    <w:pPr>
      <w:keepNext/>
      <w:keepLines/>
      <w:numPr>
        <w:ilvl w:val="2"/>
        <w:numId w:val="4"/>
      </w:numPr>
      <w:spacing w:after="240" w:before="240"/>
      <w:jc w:val="left"/>
      <w:outlineLvl w:val="1"/>
    </w:pPr>
    <w:rPr>
      <w:rFonts w:cstheme="majorBidi" w:eastAsiaTheme="majorEastAsia"/>
      <w:b/>
      <w:color w:val="1B4377"/>
      <w:sz w:val="28"/>
      <w:szCs w:val="26"/>
    </w:rPr>
  </w:style>
  <w:style w:styleId="Titre3" w:type="paragraph">
    <w:name w:val="heading 3"/>
    <w:basedOn w:val="Normal"/>
    <w:next w:val="Normal"/>
    <w:link w:val="Titre3Car"/>
    <w:uiPriority w:val="9"/>
    <w:qFormat/>
    <w:rsid w:val="00272BE1"/>
    <w:pPr>
      <w:keepNext/>
      <w:keepLines/>
      <w:numPr>
        <w:ilvl w:val="3"/>
        <w:numId w:val="4"/>
      </w:numPr>
      <w:spacing w:after="0" w:before="200"/>
      <w:jc w:val="left"/>
      <w:outlineLvl w:val="2"/>
    </w:pPr>
    <w:rPr>
      <w:rFonts w:cstheme="majorBidi" w:eastAsiaTheme="majorEastAsia"/>
      <w:b/>
      <w:bCs/>
      <w:color w:val="1B4377"/>
      <w:sz w:val="26"/>
    </w:rPr>
  </w:style>
  <w:style w:styleId="Titre4" w:type="paragraph">
    <w:name w:val="heading 4"/>
    <w:basedOn w:val="Normal"/>
    <w:next w:val="Normal"/>
    <w:link w:val="Titre4Car"/>
    <w:uiPriority w:val="9"/>
    <w:qFormat/>
    <w:rsid w:val="00272BE1"/>
    <w:pPr>
      <w:keepNext/>
      <w:keepLines/>
      <w:numPr>
        <w:ilvl w:val="4"/>
        <w:numId w:val="4"/>
      </w:numPr>
      <w:spacing w:after="0" w:before="200"/>
      <w:jc w:val="left"/>
      <w:outlineLvl w:val="3"/>
    </w:pPr>
    <w:rPr>
      <w:rFonts w:asciiTheme="majorHAnsi" w:cstheme="majorBidi" w:eastAsiaTheme="majorEastAsia" w:hAnsiTheme="majorHAnsi"/>
      <w:b/>
      <w:bCs/>
      <w:i/>
      <w:iCs/>
      <w:color w:val="1B4377"/>
    </w:rPr>
  </w:style>
  <w:style w:styleId="Titre5" w:type="paragraph">
    <w:name w:val="heading 5"/>
    <w:basedOn w:val="Normal"/>
    <w:next w:val="Normal"/>
    <w:link w:val="Titre5Car"/>
    <w:uiPriority w:val="9"/>
    <w:qFormat/>
    <w:rsid w:val="00272BE1"/>
    <w:pPr>
      <w:keepNext/>
      <w:keepLines/>
      <w:numPr>
        <w:ilvl w:val="5"/>
        <w:numId w:val="4"/>
      </w:numPr>
      <w:spacing w:after="0" w:before="200"/>
      <w:outlineLvl w:val="4"/>
    </w:pPr>
    <w:rPr>
      <w:rFonts w:asciiTheme="majorHAnsi" w:cstheme="majorBidi" w:eastAsiaTheme="majorEastAsia" w:hAnsiTheme="majorHAnsi"/>
      <w:color w:val="1B4377"/>
    </w:rPr>
  </w:style>
  <w:style w:styleId="Titre6" w:type="paragraph">
    <w:name w:val="heading 6"/>
    <w:basedOn w:val="Normal"/>
    <w:next w:val="Normal"/>
    <w:link w:val="Titre6Car"/>
    <w:uiPriority w:val="9"/>
    <w:qFormat/>
    <w:rsid w:val="00272BE1"/>
    <w:pPr>
      <w:keepNext/>
      <w:keepLines/>
      <w:numPr>
        <w:ilvl w:val="6"/>
        <w:numId w:val="4"/>
      </w:numPr>
      <w:spacing w:after="0" w:before="200"/>
      <w:outlineLvl w:val="5"/>
    </w:pPr>
    <w:rPr>
      <w:rFonts w:asciiTheme="majorHAnsi" w:cstheme="majorBidi" w:eastAsiaTheme="majorEastAsia" w:hAnsiTheme="majorHAnsi"/>
      <w:i/>
      <w:iCs/>
      <w:color w:val="1B4377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283BD3"/>
    <w:pPr>
      <w:keepNext/>
      <w:keepLines/>
      <w:numPr>
        <w:ilvl w:val="7"/>
        <w:numId w:val="4"/>
      </w:numPr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283BD3"/>
    <w:pPr>
      <w:keepNext/>
      <w:keepLines/>
      <w:numPr>
        <w:ilvl w:val="8"/>
        <w:numId w:val="4"/>
      </w:numPr>
      <w:tabs>
        <w:tab w:pos="360" w:val="num"/>
      </w:tabs>
      <w:spacing w:after="0" w:before="200"/>
      <w:ind w:firstLine="0" w:left="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283BD3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E82BB7"/>
    <w:rPr>
      <w:rFonts w:ascii="Arial" w:cstheme="majorBidi" w:eastAsiaTheme="majorEastAsia" w:hAnsi="Arial"/>
      <w:b/>
      <w:bCs/>
      <w:color w:val="1B4377"/>
      <w:sz w:val="32"/>
      <w:szCs w:val="32"/>
    </w:rPr>
  </w:style>
  <w:style w:customStyle="1" w:styleId="Titre2Car" w:type="character">
    <w:name w:val="Titre 2 Car"/>
    <w:basedOn w:val="Policepardfaut"/>
    <w:link w:val="Titre2"/>
    <w:uiPriority w:val="9"/>
    <w:rsid w:val="00272BE1"/>
    <w:rPr>
      <w:rFonts w:ascii="Arial" w:cstheme="majorBidi" w:eastAsiaTheme="majorEastAsia" w:hAnsi="Arial"/>
      <w:b/>
      <w:color w:val="1B4377"/>
      <w:sz w:val="28"/>
      <w:szCs w:val="26"/>
    </w:rPr>
  </w:style>
  <w:style w:customStyle="1" w:styleId="Titre3Car" w:type="character">
    <w:name w:val="Titre 3 Car"/>
    <w:basedOn w:val="Policepardfaut"/>
    <w:link w:val="Titre3"/>
    <w:uiPriority w:val="9"/>
    <w:rsid w:val="00272BE1"/>
    <w:rPr>
      <w:rFonts w:ascii="Arial" w:cstheme="majorBidi" w:eastAsiaTheme="majorEastAsia" w:hAnsi="Arial"/>
      <w:b/>
      <w:bCs/>
      <w:color w:val="1B4377"/>
      <w:sz w:val="26"/>
    </w:rPr>
  </w:style>
  <w:style w:customStyle="1" w:styleId="Titre4Car" w:type="character">
    <w:name w:val="Titre 4 Car"/>
    <w:basedOn w:val="Policepardfaut"/>
    <w:link w:val="Titre4"/>
    <w:uiPriority w:val="9"/>
    <w:rsid w:val="00272BE1"/>
    <w:rPr>
      <w:rFonts w:asciiTheme="majorHAnsi" w:cstheme="majorBidi" w:eastAsiaTheme="majorEastAsia" w:hAnsiTheme="majorHAnsi"/>
      <w:b/>
      <w:bCs/>
      <w:i/>
      <w:iCs/>
      <w:color w:val="1B4377"/>
    </w:rPr>
  </w:style>
  <w:style w:customStyle="1" w:styleId="Titre5Car" w:type="character">
    <w:name w:val="Titre 5 Car"/>
    <w:basedOn w:val="Policepardfaut"/>
    <w:link w:val="Titre5"/>
    <w:uiPriority w:val="9"/>
    <w:rsid w:val="00272BE1"/>
    <w:rPr>
      <w:rFonts w:asciiTheme="majorHAnsi" w:cstheme="majorBidi" w:eastAsiaTheme="majorEastAsia" w:hAnsiTheme="majorHAnsi"/>
      <w:color w:val="1B4377"/>
    </w:rPr>
  </w:style>
  <w:style w:customStyle="1" w:styleId="Titre6Car" w:type="character">
    <w:name w:val="Titre 6 Car"/>
    <w:basedOn w:val="Policepardfaut"/>
    <w:link w:val="Titre6"/>
    <w:uiPriority w:val="9"/>
    <w:rsid w:val="00272BE1"/>
    <w:rPr>
      <w:rFonts w:asciiTheme="majorHAnsi" w:cstheme="majorBidi" w:eastAsiaTheme="majorEastAsia" w:hAnsiTheme="majorHAnsi"/>
      <w:i/>
      <w:iCs/>
      <w:color w:val="1B4377"/>
    </w:rPr>
  </w:style>
  <w:style w:customStyle="1" w:styleId="Titre7Car" w:type="character">
    <w:name w:val="Titre 7 Car"/>
    <w:basedOn w:val="Policepardfaut"/>
    <w:link w:val="Titre7"/>
    <w:uiPriority w:val="9"/>
    <w:semiHidden/>
    <w:rsid w:val="00283BD3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itre8Car" w:type="character">
    <w:name w:val="Titre 8 Car"/>
    <w:basedOn w:val="Policepardfaut"/>
    <w:link w:val="Titre8"/>
    <w:uiPriority w:val="9"/>
    <w:semiHidden/>
    <w:rsid w:val="00283BD3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Titre9Car" w:type="character">
    <w:name w:val="Titre 9 Car"/>
    <w:basedOn w:val="Policepardfaut"/>
    <w:link w:val="Titre9"/>
    <w:uiPriority w:val="9"/>
    <w:semiHidden/>
    <w:rsid w:val="00283BD3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6A076E"/>
    <w:pPr>
      <w:spacing w:after="0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6A076E"/>
    <w:rPr>
      <w:rFonts w:ascii="Tahoma" w:cs="Tahoma" w:hAnsi="Tahoma"/>
      <w:sz w:val="16"/>
      <w:szCs w:val="16"/>
    </w:rPr>
  </w:style>
  <w:style w:styleId="Grilledutableau" w:type="table">
    <w:name w:val="Table Grid"/>
    <w:basedOn w:val="TableauNormal"/>
    <w:rsid w:val="000B07BF"/>
    <w:rPr>
      <w:rFonts w:ascii="Arial" w:hAnsi="Ari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extedelespacerserv" w:type="character">
    <w:name w:val="Placeholder Text"/>
    <w:basedOn w:val="Policepardfaut"/>
    <w:uiPriority w:val="99"/>
    <w:semiHidden/>
    <w:rsid w:val="00FC6DFD"/>
    <w:rPr>
      <w:color w:val="808080"/>
    </w:rPr>
  </w:style>
  <w:style w:styleId="Paragraphedeliste" w:type="paragraph">
    <w:name w:val="List Paragraph"/>
    <w:basedOn w:val="Normal"/>
    <w:uiPriority w:val="34"/>
    <w:qFormat/>
    <w:rsid w:val="00C6662D"/>
    <w:pPr>
      <w:ind w:left="720"/>
      <w:contextualSpacing/>
    </w:pPr>
  </w:style>
  <w:style w:styleId="Titre" w:type="paragraph">
    <w:name w:val="Title"/>
    <w:basedOn w:val="Normal"/>
    <w:next w:val="Normal"/>
    <w:link w:val="TitreCar"/>
    <w:qFormat/>
    <w:rsid w:val="00C17CA3"/>
    <w:pPr>
      <w:pageBreakBefore/>
      <w:numPr>
        <w:numId w:val="4"/>
      </w:numPr>
      <w:spacing w:after="600" w:before="0"/>
      <w:contextualSpacing/>
      <w:jc w:val="center"/>
      <w:outlineLvl w:val="0"/>
    </w:pPr>
    <w:rPr>
      <w:rFonts w:cstheme="majorBidi" w:eastAsiaTheme="majorEastAsia"/>
      <w:b/>
      <w:color w:val="1B4377"/>
      <w:spacing w:val="5"/>
      <w:kern w:val="28"/>
      <w:sz w:val="48"/>
      <w:szCs w:val="52"/>
    </w:rPr>
  </w:style>
  <w:style w:customStyle="1" w:styleId="TitreCar" w:type="character">
    <w:name w:val="Titre Car"/>
    <w:basedOn w:val="Policepardfaut"/>
    <w:link w:val="Titre"/>
    <w:rsid w:val="00C17CA3"/>
    <w:rPr>
      <w:rFonts w:ascii="Arial" w:cstheme="majorBidi" w:eastAsiaTheme="majorEastAsia" w:hAnsi="Arial"/>
      <w:b/>
      <w:color w:val="1B4377"/>
      <w:spacing w:val="5"/>
      <w:kern w:val="28"/>
      <w:sz w:val="48"/>
      <w:szCs w:val="52"/>
    </w:rPr>
  </w:style>
  <w:style w:styleId="TM2" w:type="paragraph">
    <w:name w:val="toc 2"/>
    <w:basedOn w:val="Normal"/>
    <w:next w:val="Normal"/>
    <w:autoRedefine/>
    <w:uiPriority w:val="39"/>
    <w:unhideWhenUsed/>
    <w:rsid w:val="00283BD3"/>
    <w:pPr>
      <w:spacing w:after="100"/>
      <w:ind w:left="240"/>
    </w:pPr>
  </w:style>
  <w:style w:styleId="TM1" w:type="paragraph">
    <w:name w:val="toc 1"/>
    <w:basedOn w:val="Normal"/>
    <w:next w:val="Normal"/>
    <w:autoRedefine/>
    <w:uiPriority w:val="39"/>
    <w:unhideWhenUsed/>
    <w:rsid w:val="00283BD3"/>
    <w:pPr>
      <w:spacing w:after="100"/>
    </w:pPr>
  </w:style>
  <w:style w:styleId="TM3" w:type="paragraph">
    <w:name w:val="toc 3"/>
    <w:basedOn w:val="Normal"/>
    <w:next w:val="Normal"/>
    <w:autoRedefine/>
    <w:uiPriority w:val="39"/>
    <w:unhideWhenUsed/>
    <w:rsid w:val="00283BD3"/>
    <w:pPr>
      <w:spacing w:after="100"/>
      <w:ind w:left="480"/>
    </w:pPr>
  </w:style>
  <w:style w:styleId="Lienhypertexte" w:type="character">
    <w:name w:val="Hyperlink"/>
    <w:basedOn w:val="Policepardfaut"/>
    <w:uiPriority w:val="99"/>
    <w:unhideWhenUsed/>
    <w:rsid w:val="00283BD3"/>
    <w:rPr>
      <w:color w:themeColor="hyperlink" w:val="0000FF"/>
      <w:u w:val="single"/>
    </w:rPr>
  </w:style>
  <w:style w:styleId="En-tte" w:type="paragraph">
    <w:name w:val="header"/>
    <w:basedOn w:val="Normal"/>
    <w:link w:val="En-tteCar"/>
    <w:uiPriority w:val="99"/>
    <w:unhideWhenUsed/>
    <w:rsid w:val="00283BD3"/>
    <w:pPr>
      <w:tabs>
        <w:tab w:pos="4536" w:val="center"/>
        <w:tab w:pos="9072" w:val="right"/>
      </w:tabs>
      <w:spacing w:after="0" w:before="0"/>
    </w:pPr>
  </w:style>
  <w:style w:customStyle="1" w:styleId="En-tteCar" w:type="character">
    <w:name w:val="En-tête Car"/>
    <w:basedOn w:val="Policepardfaut"/>
    <w:link w:val="En-tte"/>
    <w:uiPriority w:val="99"/>
    <w:rsid w:val="00283BD3"/>
    <w:rPr>
      <w:rFonts w:ascii="Times New Roman" w:hAnsi="Times New Roman"/>
    </w:rPr>
  </w:style>
  <w:style w:styleId="Pieddepage" w:type="paragraph">
    <w:name w:val="footer"/>
    <w:basedOn w:val="Normal"/>
    <w:link w:val="PieddepageCar"/>
    <w:uiPriority w:val="99"/>
    <w:unhideWhenUsed/>
    <w:rsid w:val="00283BD3"/>
    <w:pPr>
      <w:tabs>
        <w:tab w:pos="4536" w:val="center"/>
        <w:tab w:pos="9072" w:val="right"/>
      </w:tabs>
      <w:spacing w:after="0" w:before="0"/>
    </w:pPr>
  </w:style>
  <w:style w:customStyle="1" w:styleId="PieddepageCar" w:type="character">
    <w:name w:val="Pied de page Car"/>
    <w:basedOn w:val="Policepardfaut"/>
    <w:link w:val="Pieddepage"/>
    <w:uiPriority w:val="99"/>
    <w:rsid w:val="00283BD3"/>
    <w:rPr>
      <w:rFonts w:ascii="Times New Roman" w:hAnsi="Times New Roman"/>
    </w:rPr>
  </w:style>
  <w:style w:customStyle="1" w:styleId="gras" w:type="character">
    <w:name w:val="gras"/>
    <w:basedOn w:val="Policepardfaut"/>
    <w:uiPriority w:val="1"/>
    <w:qFormat/>
    <w:rsid w:val="00C17CA3"/>
    <w:rPr>
      <w:b/>
      <w:color w:val="1B4377"/>
    </w:rPr>
  </w:style>
  <w:style w:styleId="Listeclaire-Accent2" w:type="table">
    <w:name w:val="Light List Accent 2"/>
    <w:basedOn w:val="TableauNormal"/>
    <w:uiPriority w:val="61"/>
    <w:rsid w:val="00CC7951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Bibliographie" w:type="paragraph">
    <w:name w:val="Bibliography"/>
    <w:basedOn w:val="Normal"/>
    <w:next w:val="Normal"/>
    <w:uiPriority w:val="37"/>
    <w:unhideWhenUsed/>
    <w:rsid w:val="00387181"/>
    <w:pPr>
      <w:tabs>
        <w:tab w:pos="709" w:val="left"/>
      </w:tabs>
      <w:spacing w:after="0"/>
      <w:ind w:hanging="709" w:left="709"/>
    </w:pPr>
  </w:style>
  <w:style w:customStyle="1" w:styleId="noticetemporaire" w:type="paragraph">
    <w:name w:val="notice_temporaire"/>
    <w:basedOn w:val="Normal"/>
    <w:qFormat/>
    <w:rsid w:val="00FF2353"/>
    <w:rPr>
      <w:i/>
      <w:color w:val="000099"/>
    </w:rPr>
  </w:style>
  <w:style w:customStyle="1" w:styleId="aareferencebiblio" w:type="paragraph">
    <w:name w:val="aa_reference_biblio"/>
    <w:basedOn w:val="Paragraphedeliste"/>
    <w:rsid w:val="0083684B"/>
    <w:pPr>
      <w:numPr>
        <w:numId w:val="1"/>
      </w:numPr>
      <w:tabs>
        <w:tab w:pos="9072" w:val="right"/>
      </w:tabs>
      <w:spacing w:after="160"/>
      <w:contextualSpacing w:val="0"/>
      <w:jc w:val="left"/>
    </w:pPr>
    <w:rPr>
      <w:sz w:val="20"/>
      <w:szCs w:val="20"/>
      <w:lang w:val="en-US"/>
    </w:rPr>
  </w:style>
  <w:style w:customStyle="1" w:styleId="renvoi" w:type="character">
    <w:name w:val="renvoi"/>
    <w:basedOn w:val="Policepardfaut"/>
    <w:uiPriority w:val="1"/>
    <w:qFormat/>
    <w:rsid w:val="00E82BB7"/>
    <w:rPr>
      <w:color w:val="1B4377"/>
      <w:u w:val="single"/>
    </w:rPr>
  </w:style>
  <w:style w:styleId="Lgende" w:type="paragraph">
    <w:name w:val="caption"/>
    <w:basedOn w:val="Normal"/>
    <w:next w:val="Normal"/>
    <w:qFormat/>
    <w:rsid w:val="00E82BB7"/>
    <w:pPr>
      <w:spacing w:after="200" w:before="200"/>
      <w:jc w:val="center"/>
    </w:pPr>
    <w:rPr>
      <w:b/>
      <w:i/>
      <w:iCs/>
      <w:color w:val="1B4377"/>
      <w:sz w:val="18"/>
      <w:szCs w:val="18"/>
    </w:rPr>
  </w:style>
  <w:style w:styleId="Notedebasdepage" w:type="paragraph">
    <w:name w:val="footnote text"/>
    <w:basedOn w:val="Normal"/>
    <w:link w:val="NotedebasdepageCar"/>
    <w:semiHidden/>
    <w:unhideWhenUsed/>
    <w:rsid w:val="00F20D38"/>
    <w:pPr>
      <w:spacing w:after="0" w:before="0"/>
      <w:jc w:val="left"/>
    </w:pPr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semiHidden/>
    <w:rsid w:val="00F20D38"/>
    <w:rPr>
      <w:rFonts w:ascii="Arial" w:hAnsi="Arial"/>
      <w:sz w:val="20"/>
      <w:szCs w:val="20"/>
    </w:rPr>
  </w:style>
  <w:style w:styleId="Appelnotedebasdep" w:type="character">
    <w:name w:val="footnote reference"/>
    <w:basedOn w:val="Policepardfaut"/>
    <w:semiHidden/>
    <w:unhideWhenUsed/>
    <w:rsid w:val="009068A0"/>
    <w:rPr>
      <w:vertAlign w:val="superscript"/>
    </w:rPr>
  </w:style>
  <w:style w:customStyle="1" w:styleId="aareferencebiblioul" w:type="paragraph">
    <w:name w:val="aa_reference_biblio_ul"/>
    <w:basedOn w:val="aareferencebiblio"/>
    <w:rsid w:val="007A36F8"/>
    <w:pPr>
      <w:numPr>
        <w:numId w:val="2"/>
      </w:numPr>
    </w:pPr>
    <w:rPr>
      <w:lang w:val="fr-FR"/>
    </w:rPr>
  </w:style>
  <w:style w:customStyle="1" w:styleId="figureimage" w:type="paragraph">
    <w:name w:val="figure_image"/>
    <w:basedOn w:val="Normal"/>
    <w:qFormat/>
    <w:rsid w:val="009B4E4D"/>
    <w:pPr>
      <w:spacing w:before="360"/>
      <w:jc w:val="center"/>
    </w:pPr>
    <w:rPr>
      <w:noProof/>
    </w:rPr>
  </w:style>
  <w:style w:customStyle="1" w:styleId="figure" w:type="paragraph">
    <w:name w:val="figure"/>
    <w:basedOn w:val="Normal"/>
    <w:rsid w:val="0038113A"/>
    <w:pPr>
      <w:spacing w:before="240"/>
      <w:ind w:hanging="851" w:left="851"/>
      <w:jc w:val="center"/>
    </w:pPr>
    <w:rPr>
      <w:rFonts w:cs="Arial" w:eastAsia="Times New Roman"/>
    </w:rPr>
  </w:style>
  <w:style w:styleId="Marquedecommentaire" w:type="character">
    <w:name w:val="annotation reference"/>
    <w:basedOn w:val="Policepardfaut"/>
    <w:uiPriority w:val="99"/>
    <w:semiHidden/>
    <w:unhideWhenUsed/>
    <w:rsid w:val="00F832E2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semiHidden/>
    <w:unhideWhenUsed/>
    <w:rsid w:val="00F832E2"/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semiHidden/>
    <w:rsid w:val="00F832E2"/>
    <w:rPr>
      <w:rFonts w:ascii="Arial" w:hAnsi="Arial"/>
      <w:sz w:val="20"/>
      <w:szCs w:val="20"/>
    </w:r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F832E2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F832E2"/>
    <w:rPr>
      <w:rFonts w:ascii="Arial" w:hAnsi="Arial"/>
      <w:b/>
      <w:bCs/>
      <w:sz w:val="20"/>
      <w:szCs w:val="20"/>
    </w:rPr>
  </w:style>
  <w:style w:customStyle="1" w:styleId="code" w:type="paragraph">
    <w:name w:val="code"/>
    <w:basedOn w:val="Normal"/>
    <w:qFormat/>
    <w:rsid w:val="00E82BB7"/>
    <w:pPr>
      <w:shd w:color="auto" w:fill="D9D9D9" w:themeFill="background1" w:themeFillShade="D9" w:val="clear"/>
      <w:spacing w:after="360" w:before="360"/>
      <w:jc w:val="left"/>
    </w:pPr>
    <w:rPr>
      <w:rFonts w:ascii="Lucida Console" w:hAnsi="Lucida Console"/>
      <w:color w:val="1B4377"/>
      <w:sz w:val="20"/>
    </w:rPr>
  </w:style>
  <w:style w:styleId="Listecouleur-Accent1" w:type="table">
    <w:name w:val="Colorful List Accent 1"/>
    <w:basedOn w:val="TableauNormal"/>
    <w:uiPriority w:val="72"/>
    <w:rsid w:val="00AE1BFF"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NormalWeb" w:type="paragraph">
    <w:name w:val="Normal (Web)"/>
    <w:basedOn w:val="Normal"/>
    <w:uiPriority w:val="99"/>
    <w:unhideWhenUsed/>
    <w:rsid w:val="00443D9D"/>
    <w:pPr>
      <w:spacing w:after="100" w:afterAutospacing="1" w:before="100" w:beforeAutospacing="1"/>
      <w:jc w:val="left"/>
    </w:pPr>
    <w:rPr>
      <w:rFonts w:ascii="Times New Roman" w:cs="Times New Roman" w:eastAsia="Times New Roman" w:hAnsi="Times New Roman"/>
    </w:rPr>
  </w:style>
  <w:style w:styleId="TM4" w:type="paragraph">
    <w:name w:val="toc 4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660"/>
      <w:jc w:val="left"/>
    </w:pPr>
    <w:rPr>
      <w:rFonts w:asciiTheme="minorHAnsi" w:hAnsiTheme="minorHAnsi"/>
      <w:sz w:val="22"/>
      <w:szCs w:val="22"/>
    </w:rPr>
  </w:style>
  <w:style w:styleId="TM5" w:type="paragraph">
    <w:name w:val="toc 5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880"/>
      <w:jc w:val="left"/>
    </w:pPr>
    <w:rPr>
      <w:rFonts w:asciiTheme="minorHAnsi" w:hAnsiTheme="minorHAnsi"/>
      <w:sz w:val="22"/>
      <w:szCs w:val="22"/>
    </w:rPr>
  </w:style>
  <w:style w:styleId="TM6" w:type="paragraph">
    <w:name w:val="toc 6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1100"/>
      <w:jc w:val="left"/>
    </w:pPr>
    <w:rPr>
      <w:rFonts w:asciiTheme="minorHAnsi" w:hAnsiTheme="minorHAnsi"/>
      <w:sz w:val="22"/>
      <w:szCs w:val="22"/>
    </w:rPr>
  </w:style>
  <w:style w:styleId="TM7" w:type="paragraph">
    <w:name w:val="toc 7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1320"/>
      <w:jc w:val="left"/>
    </w:pPr>
    <w:rPr>
      <w:rFonts w:asciiTheme="minorHAnsi" w:hAnsiTheme="minorHAnsi"/>
      <w:sz w:val="22"/>
      <w:szCs w:val="22"/>
    </w:rPr>
  </w:style>
  <w:style w:styleId="TM8" w:type="paragraph">
    <w:name w:val="toc 8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1540"/>
      <w:jc w:val="left"/>
    </w:pPr>
    <w:rPr>
      <w:rFonts w:asciiTheme="minorHAnsi" w:hAnsiTheme="minorHAnsi"/>
      <w:sz w:val="22"/>
      <w:szCs w:val="22"/>
    </w:rPr>
  </w:style>
  <w:style w:styleId="TM9" w:type="paragraph">
    <w:name w:val="toc 9"/>
    <w:basedOn w:val="Normal"/>
    <w:next w:val="Normal"/>
    <w:autoRedefine/>
    <w:uiPriority w:val="39"/>
    <w:unhideWhenUsed/>
    <w:rsid w:val="001C6B38"/>
    <w:pPr>
      <w:spacing w:after="100" w:before="0" w:line="259" w:lineRule="auto"/>
      <w:ind w:left="1760"/>
      <w:jc w:val="left"/>
    </w:pPr>
    <w:rPr>
      <w:rFonts w:asciiTheme="minorHAnsi" w:hAnsiTheme="minorHAnsi"/>
      <w:sz w:val="22"/>
      <w:szCs w:val="22"/>
    </w:rPr>
  </w:style>
  <w:style w:styleId="Accentuationlgre" w:type="character">
    <w:name w:val="Subtle Emphasis"/>
    <w:basedOn w:val="Policepardfaut"/>
    <w:uiPriority w:val="19"/>
    <w:rsid w:val="00DB3F53"/>
    <w:rPr>
      <w:i/>
      <w:iCs/>
      <w:color w:themeColor="text1" w:themeTint="7F" w:val="808080"/>
    </w:rPr>
  </w:style>
  <w:style w:styleId="Accentuationintense" w:type="character">
    <w:name w:val="Intense Emphasis"/>
    <w:basedOn w:val="Policepardfaut"/>
    <w:uiPriority w:val="21"/>
    <w:rsid w:val="00DB3F53"/>
    <w:rPr>
      <w:b/>
      <w:bCs/>
      <w:i/>
      <w:iCs/>
      <w:color w:themeColor="accent1" w:val="4F81BD"/>
    </w:rPr>
  </w:style>
  <w:style w:styleId="Citation" w:type="paragraph">
    <w:name w:val="Quote"/>
    <w:basedOn w:val="Normal"/>
    <w:next w:val="Normal"/>
    <w:link w:val="CitationCar"/>
    <w:uiPriority w:val="29"/>
    <w:rsid w:val="00DB3F53"/>
    <w:rPr>
      <w:i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29"/>
    <w:rsid w:val="00DB3F53"/>
    <w:rPr>
      <w:rFonts w:ascii="Arial" w:hAnsi="Arial"/>
      <w:i/>
      <w:iCs/>
      <w:color w:themeColor="text1" w:val="000000"/>
    </w:rPr>
  </w:style>
  <w:style w:styleId="Citationintense" w:type="paragraph">
    <w:name w:val="Intense Quote"/>
    <w:basedOn w:val="Normal"/>
    <w:next w:val="Normal"/>
    <w:link w:val="CitationintenseCar"/>
    <w:uiPriority w:val="30"/>
    <w:rsid w:val="00DB3F53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B3F53"/>
    <w:rPr>
      <w:rFonts w:ascii="Arial" w:hAnsi="Arial"/>
      <w:b/>
      <w:bCs/>
      <w:i/>
      <w:iCs/>
      <w:color w:themeColor="accent1" w:val="4F81BD"/>
    </w:rPr>
  </w:style>
  <w:style w:styleId="Rfrenceintense" w:type="character">
    <w:name w:val="Intense Reference"/>
    <w:basedOn w:val="Policepardfaut"/>
    <w:uiPriority w:val="32"/>
    <w:rsid w:val="00DB3F53"/>
    <w:rPr>
      <w:b/>
      <w:bCs/>
      <w:smallCaps/>
      <w:color w:themeColor="accent2" w:val="C0504D"/>
      <w:spacing w:val="5"/>
      <w:u w:val="single"/>
    </w:rPr>
  </w:style>
  <w:style w:customStyle="1" w:styleId="citationdecalee" w:type="paragraph">
    <w:name w:val="citation_decalee"/>
    <w:basedOn w:val="Normal"/>
    <w:qFormat/>
    <w:rsid w:val="00DF0060"/>
    <w:pPr>
      <w:pBdr>
        <w:left w:color="9D1C69" w:space="4" w:sz="12" w:val="single"/>
      </w:pBdr>
      <w:ind w:left="709" w:right="1269"/>
      <w:contextualSpacing/>
    </w:pPr>
    <w:rPr>
      <w:rFonts w:ascii="Times New Roman" w:hAnsi="Times New Roman"/>
      <w:i/>
    </w:rPr>
  </w:style>
  <w:style w:styleId="Tabledesillustrations" w:type="paragraph">
    <w:name w:val="table of figures"/>
    <w:basedOn w:val="Normal"/>
    <w:next w:val="Normal"/>
    <w:uiPriority w:val="99"/>
    <w:unhideWhenUsed/>
    <w:rsid w:val="009C6337"/>
    <w:pPr>
      <w:spacing w:after="0"/>
      <w:ind w:hanging="1134" w:left="1134"/>
    </w:pPr>
  </w:style>
  <w:style w:styleId="Mentionnonrsolue" w:type="character">
    <w:name w:val="Unresolved Mention"/>
    <w:basedOn w:val="Policepardfaut"/>
    <w:uiPriority w:val="99"/>
    <w:semiHidden/>
    <w:unhideWhenUsed/>
    <w:rsid w:val="004107E7"/>
    <w:rPr>
      <w:color w:val="605E5C"/>
      <w:shd w:color="auto" w:fill="E1DFDD" w:val="clear"/>
    </w:rPr>
  </w:style>
  <w:style w:customStyle="1" w:styleId="styletableau" w:type="table">
    <w:name w:val="style_tableau"/>
    <w:basedOn w:val="Tableauclassique3"/>
    <w:uiPriority w:val="99"/>
    <w:rsid w:val="007E3D8D"/>
    <w:pPr>
      <w:jc w:val="center"/>
    </w:pPr>
    <w:rPr>
      <w:rFonts w:ascii="Arial" w:hAnsi="Arial"/>
      <w:color w:themeColor="text1" w:val="000000"/>
      <w:sz w:val="20"/>
      <w:szCs w:val="20"/>
    </w:rPr>
    <w:tblPr>
      <w:tblStyleRowBandSize w:val="1"/>
      <w:jc w:val="center"/>
      <w:tblBorders>
        <w:top w:color="1B4377" w:space="0" w:sz="4" w:val="single"/>
        <w:left w:color="1B4377" w:space="0" w:sz="4" w:val="single"/>
        <w:bottom w:color="1B4377" w:space="0" w:sz="4" w:val="single"/>
        <w:right w:color="1B4377" w:space="0" w:sz="4" w:val="single"/>
        <w:insideH w:color="1B4377" w:space="0" w:sz="4" w:val="single"/>
        <w:insideV w:color="1B4377" w:space="0" w:sz="4" w:val="single"/>
      </w:tblBorders>
    </w:tblPr>
    <w:trPr>
      <w:jc w:val="center"/>
    </w:trPr>
    <w:tcPr>
      <w:shd w:color="auto" w:fill="FFFFFF" w:themeFill="background1" w:val="clear"/>
      <w:vAlign w:val="center"/>
    </w:tcPr>
    <w:tblStylePr w:type="firstRow">
      <w:rPr>
        <w:rFonts w:ascii="Arial" w:hAnsi="Arial"/>
        <w:b/>
        <w:bCs/>
        <w:i w:val="0"/>
        <w:iCs/>
        <w:color w:themeColor="background1" w:val="FFFFFF"/>
        <w:sz w:val="24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color="FFFFFF" w:space="0" w:sz="4" w:themeColor="background1" w:val="single"/>
          <w:insideV w:color="FFFFFF" w:space="0" w:sz="4" w:themeColor="background1" w:val="single"/>
          <w:tl2br w:color="auto" w:space="0" w:sz="0" w:val="none"/>
          <w:tr2bl w:color="auto" w:space="0" w:sz="0" w:val="none"/>
        </w:tcBorders>
        <w:shd w:color="auto" w:fill="1B4377" w:val="clear"/>
      </w:tcPr>
    </w:tblStylePr>
    <w:tblStylePr w:type="lastRow">
      <w:rPr>
        <w:rFonts w:ascii="Arial" w:hAnsi="Arial"/>
        <w:b/>
        <w:color w:themeColor="text1" w:val="000000"/>
        <w:sz w:val="24"/>
      </w:rPr>
      <w:tblPr/>
      <w:tcPr>
        <w:tcBorders>
          <w:top w:color="1B4377" w:space="0" w:sz="4" w:val="single"/>
          <w:left w:color="1B4377" w:space="0" w:sz="4" w:val="single"/>
          <w:bottom w:color="1B4377" w:space="0" w:sz="4" w:val="single"/>
          <w:right w:color="1B4377" w:space="0" w:sz="4" w:val="single"/>
          <w:insideH w:color="1B4377" w:space="0" w:sz="4" w:val="single"/>
          <w:insideV w:color="1B4377" w:space="0" w:sz="4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rFonts w:ascii="Arial" w:hAnsi="Arial"/>
        <w:b/>
        <w:bCs/>
        <w:color w:themeColor="background1" w:val="FFFFFF"/>
        <w:sz w:val="24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color="FFFFFF" w:space="0" w:sz="4" w:themeColor="background1" w:val="single"/>
          <w:insideV w:color="FFFFFF" w:space="0" w:sz="4" w:themeColor="background1" w:val="single"/>
          <w:tl2br w:color="auto" w:space="0" w:sz="0" w:val="none"/>
          <w:tr2bl w:color="auto" w:space="0" w:sz="0" w:val="none"/>
        </w:tcBorders>
        <w:shd w:color="auto" w:fill="1B4377" w:val="clear"/>
      </w:tcPr>
    </w:tblStylePr>
    <w:tblStylePr w:type="band2Horz">
      <w:tblPr/>
      <w:tcPr>
        <w:shd w:color="auto" w:fill="D9D9D9" w:themeFill="background1" w:themeFillShade="D9" w:val="clear"/>
      </w:tcPr>
    </w:tblStylePr>
  </w:style>
  <w:style w:styleId="Tableauclassique3" w:type="table">
    <w:name w:val="Table Classic 3"/>
    <w:basedOn w:val="TableauNormal"/>
    <w:uiPriority w:val="99"/>
    <w:semiHidden/>
    <w:unhideWhenUsed/>
    <w:rsid w:val="00E82BB7"/>
    <w:pPr>
      <w:spacing w:after="120" w:before="12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11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48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8639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8002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14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5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3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71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50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4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8" Target="media/image1.jpeg" Type="http://schemas.openxmlformats.org/officeDocument/2006/relationships/image" /><Relationship Id="rId21" Target="media/image10.png" Type="http://schemas.openxmlformats.org/officeDocument/2006/relationships/image" /><Relationship Id="rId17" Target="media/image7.png" Type="http://schemas.openxmlformats.org/officeDocument/2006/relationships/image" /><Relationship Id="rId25" Target="footer1.xml" Type="http://schemas.openxmlformats.org/officeDocument/2006/relationships/footer" /><Relationship Id="rId16" Target="media/image6.emf" Type="http://schemas.openxmlformats.org/officeDocument/2006/relationships/image" /><Relationship Id="rId20" Target="media/image9.png" Type="http://schemas.openxmlformats.org/officeDocument/2006/relationships/image" /><Relationship Id="rId11" Target="media/image3.png" Type="http://schemas.openxmlformats.org/officeDocument/2006/relationships/image" /><Relationship Id="rId15" Target="media/image5.png" Type="http://schemas.openxmlformats.org/officeDocument/2006/relationships/image" /><Relationship Id="rId19" Target="media/image8.png" Type="http://schemas.openxmlformats.org/officeDocument/2006/relationships/image" /><Relationship Id="rId9" Target="media/image2.png" Type="http://schemas.openxmlformats.org/officeDocument/2006/relationships/image" /><Relationship Id="rId14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chazard_modele_these_medecine_2022.dotx</Template>
  <TotalTime>55</TotalTime>
  <Pages>26</Pages>
  <Words>4423</Words>
  <Characters>24331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SARL CEFIMIS</Company>
  <LinksUpToDate>false</LinksUpToDate>
  <CharactersWithSpaces>28697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render tables</dc:title>
  <dc:creator/>
  <cp:keywords/>
  <dcterms:created xsi:type="dcterms:W3CDTF">2026-08-05T08:04:07Z</dcterms:created>
  <dcterms:modified xsi:type="dcterms:W3CDTF">2026-08-05T08:04:07Z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llout-appearance">
    <vt:lpwstr>simple</vt:lpwstr>
  </property>
  <property fmtid="{D5CDD505-2E9C-101B-9397-08002B2CF9AE}" pid="4" name="colorlinks">
    <vt:lpwstr>True</vt:lpwstr>
  </property>
  <property fmtid="{D5CDD505-2E9C-101B-9397-08002B2CF9AE}" pid="5" name="crossref">
    <vt:lpwstr/>
  </property>
  <property fmtid="{D5CDD505-2E9C-101B-9397-08002B2CF9AE}" pid="6" name="fig-cap-location">
    <vt:lpwstr>bottom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4</vt:lpwstr>
  </property>
  <property fmtid="{D5CDD505-2E9C-101B-9397-08002B2CF9AE}" pid="13" name="revealjs-plugins">
    <vt:lpwstr/>
  </property>
  <property fmtid="{D5CDD505-2E9C-101B-9397-08002B2CF9AE}" pid="14" name="tbl-cap-location">
    <vt:lpwstr>top</vt:lpwstr>
  </property>
  <property fmtid="{D5CDD505-2E9C-101B-9397-08002B2CF9AE}" pid="15" name="toc-title">
    <vt:lpwstr/>
  </property>
</Properties>
</file>