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d890cd66b2da206e7de9579e040157789a36c00"/>
    <w:p>
      <w:pPr>
        <w:pStyle w:val="Titre2"/>
      </w:pPr>
      <w:r>
        <w:t xml:space="preserve">Caractéristiques des patients à l’inclusion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à l’inclusion,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78ecd3f75058ae310c911b7c19e20799eb7773"/>
    <w:p>
      <w:pPr>
        <w:pStyle w:val="Titre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 et prise en charge chirurgicale,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&gt;=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 (63,1)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(58,5)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(68,0)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avec dose relative moyenne &gt;= 80%,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(5,8)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(7,5)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Sans réduction de dose de plus de 20 % à la dernière cure de chaque phase, sur aucune des trois molécules.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7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Start w:id="56" w:name="survie-sans-récidive"/>
    <w:p>
      <w:pPr>
        <w:pStyle w:val="Titre2"/>
      </w:pPr>
      <w:r>
        <w:t xml:space="preserve">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urv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Estimations Kaplan-Meier de la survie sans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sans récidive,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63,0 [54,1 ; 73,2]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37,1 [28,1 ; 48,8]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0,068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72,4 [61,0 ; 85,9]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42,7 [30,3 ; 60,1]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53,2 [40,9 ; 69,2]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31,5 [20,2 ; 49,3]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5"/>
        </w:tc>
      </w:tr>
    </w:tbl>
    <w:p>
      <w:r>
        <w:br w:type="page"/>
      </w:r>
    </w:p>
    <w:bookmarkEnd w:id="56"/>
    <w:bookmarkEnd w:id="57"/>
    <w:bookmarkStart w:id="64" w:name="modèles"/>
    <w:p>
      <w:pPr>
        <w:pStyle w:val="Titre1"/>
      </w:pPr>
      <w:r>
        <w:t xml:space="preserve">Modèles</w:t>
      </w:r>
    </w:p>
    <w:bookmarkStart w:id="59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mode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au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[1,05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[0,91 ; 1,35]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[1,06 ; 1,72]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0,95 [0,91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[0,76 ; 1,04]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[0,79 ; 1,12]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0,70 [0,55 ; 0,87]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0,73 [0,58 ; 0,91]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portant sur 91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(12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de chimiothérapie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reçues, toutes phases confondues, modélisé en comptage. IRR : rapport du nombre moyen de cures ; aIRR : rapport du nombre moyen de cures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odel-coxph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0,63 [0,33 ; 1,20]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1,07 [0,89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[0,71 ; 2,56]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[0,71 ; 2,71]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5,92 [2,93 ; 12,0]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&lt;0,001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incluant 42 évènements pour 95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complètes (8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 Un hazard ratio &gt; 1 est en faveur d'un risque plus élevé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sans-récidive"/>
    <w:p>
      <w:pPr>
        <w:pStyle w:val="Titre2"/>
      </w:pPr>
      <w:r>
        <w:t xml:space="preserve">Estimation de la 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model-coxph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sans récidive,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0,070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1,58 [0,96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[0,82 ; 2,36]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0,78 [0,39 ; 1,56]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[0,76 ; 2,55]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[0,20 ; 1,42]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64/103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[0,89 ; 1,19]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59/95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1,05 [0,90 ; 1,22]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[0,63 ; 1,92]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[0,57 ; 1,85]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3,05 [1,64 ; 5,69]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incluant 59 évènements pour 95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complètes (8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récidive ou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-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cp:keywords/>
  <dcterms:created xsi:type="dcterms:W3CDTF">2026-08-25T21:51:16Z</dcterms:created>
  <dcterms:modified xsi:type="dcterms:W3CDTF">2026-08-25T21:51:16Z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fig-cap-location">
    <vt:lpwstr>bottom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4</vt:lpwstr>
  </property>
  <property fmtid="{D5CDD505-2E9C-101B-9397-08002B2CF9AE}" pid="13" name="revealjs-plugins">
    <vt:lpwstr/>
  </property>
  <property fmtid="{D5CDD505-2E9C-101B-9397-08002B2CF9AE}" pid="14" name="tbl-cap-location">
    <vt:lpwstr>top</vt:lpwstr>
  </property>
  <property fmtid="{D5CDD505-2E9C-101B-9397-08002B2CF9AE}" pid="15" name="toc-title">
    <vt:lpwstr/>
  </property>
</Properties>
</file>