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1. Caractéristiques des patients à l'inclusion,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 (18,0)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(20,0)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(35,0)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 (48,0)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(16,5)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(18,9)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Sexe,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Femme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47 (45,6)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(37,7)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(54,0)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Homme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33 (62,3)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 (46,0)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65,3 (57,9—70,8)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66,1 (59,5—71,9)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63,5 (55,8—67,9)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33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 (36,0)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60-69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42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≥70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 (27,2)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(32,1)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11 (22,0)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PS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9/4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60 (66,7)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(81,8)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 (52,2)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(30,0)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(15,9)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(43,5)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Douleur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40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CA 19-9 au diagnostic, UI/L,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82,0 (20,0—147,0)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79,0 (25,0—110,0)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90,0 (19,0—331,0)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CA 19-9 au diagnostic &gt;= 500 UI/L,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Localisation tumorale,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Tête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79 (76,7)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38 (71,7)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 (82,0)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Corps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(12,6)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Queue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11 (10,7)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Stade 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T1-T2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85 (85,0)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 (80,4)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44 (89,8)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T3-T4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(15,0)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Stade 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 (29,0)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(25,5)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49 (49,0)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 (54,9)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22 (22,0)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(19,6)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(24,5)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IQR : intervalle interquartile ; DM : données manquantes par groupe.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2. Caractéristiques tumorales, prise en charge chirurgicale et récidive,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Résécabilité,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Résécable d'emblée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62 (63,3)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 (100,0)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Borderline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Localement avancé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(17,3)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(35,4)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Durée d'hospitalisation, jours,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16,5 (12,0—21,0)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Pas de complication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60 (61,2)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 (56,9)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(66,0)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III-IV-V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 (14,3)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68 (71,6)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(70,6)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32 (72,7)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(28,4)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(29,4)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Type de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Aucune,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(50,9)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Locale,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 (28,2)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(24,5)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0,40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Métastatique,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39 (37,9)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(37,7)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(38,0)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0,98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IQR : intervalle interquartile ; DM : données manquantes par groupe.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Selon les critères du National Comprehensive Cancer Network (NCCN).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Selon la classification de Clavien-Dindo.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Une récidive à la fois locale et métastatique est comptée dans les deux catégories.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3. Nombre de cures reçues,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Chimiothérapie d'induction,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 (100,0)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6,0 (5,0—9,0)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Chimiothérapie adjuvante,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94 (91,3)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 (94,3)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44 (88,0)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6,0 (5,0—12,0)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6,0 (4,0—6,0)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total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(11,0—12,0)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(11,0—13,0)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total de cures &gt;= 12,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65 (63,1)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(58,5)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34 (68,0)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avec dose relative moyenne &gt;= 80 %,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(5,8)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(7,5)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(4,0)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IQR : intervalle interquartile.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Nombre de patients ayant reçu au moins une cure.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Sans réduction de dose de plus de 20 % à la dernière cure de chaque phase, sur aucune des trois molécules.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4. Doses reçues et adaptations de doses,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(N=100)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Dernière dose reçue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5-FU,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Irinotécan,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70,0 (50,0—77,5)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Oxaliplatine,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 (0,0—75,0)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95 (95,0)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47 (94,0)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48 (96,0)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&gt;0,99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Pourcentage d'adaptation,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Pas d'adaptation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(4,1)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86 (87,8)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 (82,0)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45 (93,8)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 à C4,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(6,4)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(33,0)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22 (46,8)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 (19,1)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57 (60,6)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(76,6)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 à C8,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(4,8)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(20,6)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(36,4)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47 (74,6)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34 (82,9)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(59,1)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 à C12,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(22,9)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(50,0)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26 (74,3)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 (77,4)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(50,0)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Patients ayant reçu au moins une cure de chimiothérapie d'induction ou adjuvante (100 sur 103 patients inclus). IQR : intervalle interquartile ; DM : données manquantes par groupe.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Adaptation maximale parmi les trois molécules, à la dernière cure.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Cure atteinte par 96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Cure atteinte par 65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4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Cure atteinte par 35 patients.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5. Toxicité chimio-induite de grade III-IV,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(N=100)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Toxicité de grade III-IV,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32 (32,7)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(40,0)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Nausées/vomissement,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(13,3)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Neurotoxicité,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Diarrhée,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 (18,0)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Asthénie,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(6,1)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Neutropénie,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0,36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Cytolyse/cholestase, n (%)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1/2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(1,0)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0,49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Patients ayant reçu au moins une cure de chimiothérapie d'induction ou adjuvante (100 sur 103 patients inclus). DM : données manquantes par groupe.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Selon la Common Terminology Criteria for Adverse Events (CTCAE) v5.0.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6. Facteurs associés au nombre total de cures reçues.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RM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aRM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0,004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1,21 [1,06 ; 1,38]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1,22 [1,05 ; 1,41]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1,24 [1,02 ; 1,51]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1,24 [1,01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1,20 [1,00 ; 1,44]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1,11 [0,91 ; 1,35]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1,21 [0,97 ; 1,50]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1,35 [1,06 ; 1,72]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0,96 [0,92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0,95 [0,91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0,89 [0,76 ; 1,04]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0,94 [0,79 ; 1,12]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 majeure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0,70 [0,55 ; 0,87]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0,73 [0,58 ; 0,91]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0,005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nombre total de cures de chimiothérapie reçues, toutes phases confondues, modélisé en comptage. RM : rapport du nombre moyen de cures ; aRM : rapport du nombre moyen de cures ajusté ; IC95% : intervalle de confiance à 95%.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Modèle de régression de quasi-Poisson multivariable portant sur 91 observations complètes (12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Définie par un grade supérieur ou égal à III selon la classification de Clavien-Dindo.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7. Évènements.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Décès toutes causes,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Premier évènement,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(62,0)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Décès sans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(7,8)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(6,0)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Censure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39 (37,9)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 (43,4)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(32,0)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8. Estimations de la survie globale,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Probabilité de survie globale,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83,1 [76,1 ; 90,8]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62,8 [53,3 ; 74,1]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50,6 [40,1 ; 63,8]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29,7 [18,0 ; 49,0]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88,7 [80,5 ; 97,6]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65,7 [53,2 ; 81,2]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47,7 [34,2 ; 66,7]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31,8 [18,0 ; 56,3]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77,7 [66,8 ; 90,2]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60,1 [46,5 ; 77,8]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55,5 [41,1 ; 75,0]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27,8 [11,8 ; 65,3]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le décès toutes causes. Les patients sans évènement sont censurés à la date de point du centre. IC95% : intervalle de confiance à 95%.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Test du log-rank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9. Facteurs associés à la survie globale.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0,95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0,98 [0,55 ; 1,76]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0,77 [0,40 ; 1,47]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0,88 [0,41 ; 1,91]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1,10 [0,54 ; 2,21]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0,35 [0,08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46/103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1,10 [0,93 ; 1,31]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42/95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1,11 [0,93 ; 1,33]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1,29 [0,68 ; 2,45]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1,22 [0,62 ; 2,39]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 majeure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43/98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4,88 [2,45 ; 9,71]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&lt;0,001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le décès toutes causes. Les patients sans évènement sont censurés à la date de point du centre. Un hazard ratio &gt; 1 est en faveur d'un risque plus élevé de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Modèle de régression de Cox multivariable stratifié sur le centre, incluant 42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Définie par un grade supérieur ou égal à III selon la classification de Clavien-Dindo.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10. Estimations de la survie sans récidive,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Probabilité de survie sans récidive,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63,0 [54,1 ; 73,2]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37,1 [28,1 ; 48,8]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72,4 [61,0 ; 85,9]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42,7 [30,3 ; 60,1]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53,2 [40,9 ; 69,2]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31,5 [20,2 ; 49,3]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IC95% : intervalle de confiance à 95%.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Test du log-rank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11. Facteurs associés à la survie sans récidive.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0,070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30/53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30/51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34/50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1,58 [0,96 ; 2,59]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1,39 [0,82 ; 2,36]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0,78 [0,39 ; 1,56]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26/36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1,39 [0,76 ; 2,55]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0,53 [0,20 ; 1,42]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64/103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1,03 [0,89 ; 1,19]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59/95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1,05 [0,90 ; 1,22]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1,10 [0,63 ; 1,92]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1,03 [0,57 ; 1,85]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 majeure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60/98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3,05 [1,64 ; 5,69]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Un hazard ratio &gt; 1 est en faveur d'un risque plus élevé de récidive ou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Modèle de régression de Cox multivariable stratifié sur le centre, incluant 59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Définie par un grade supérieur ou égal à III selon la classification de Clavien-Dindo.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2026-09-15T21:57:37Z</dcterms:modified>
  <cp:category/>
</cp:coreProperties>
</file>