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(20,0)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(35,0)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 (48,0)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(16,5)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(18,9)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Sexe,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Femme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47 (45,6)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(37,7)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(54,0)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Homme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33 (62,3)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 (46,0)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65,3 (57,9—70,8)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66,1 (59,5—71,9)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63,5 (55,8—67,9)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33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 (36,0)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60-69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42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≥70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 (27,2)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(32,1)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11 (22,0)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PS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9/4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 (66,7)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(81,8)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 (52,2)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(30,0)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(15,9)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(43,5)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Douleur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40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CA 19-9 au diagnostic, UI/L,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82,0 (20,0—147,0)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79,0 (25,0—110,0)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90,0 (19,0—331,0)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CA 19-9 au diagnostic &gt;= 500 UI/L,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Localisation tumorale,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Tête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79 (76,7)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38 (71,7)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Corps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(12,6)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Queue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11 (10,7)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Stade 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T1-T2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85 (85,0)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44 (89,8)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T3-T4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(15,0)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Stade 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(29,0)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(25,5)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49 (49,0)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 (54,9)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22 (22,0)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(19,6)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(24,5)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 ; DM : données manquantes par groupe.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2026-09-15T21:56:51Z</dcterms:modified>
  <cp:category/>
</cp:coreProperties>
</file>