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0,95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0,98 [0,55 ; 1,76]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0,77 [0,40 ; 1,47]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0,88 [0,41 ; 1,91]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1,10 [0,54 ; 2,21]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0,35 [0,08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46/103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1,10 [0,93 ; 1,31]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42/95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1,11 [0,93 ; 1,33]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1,29 [0,68 ; 2,45]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1,22 [0,62 ; 2,39]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 majeure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43/98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4,88 [2,45 ; 9,71]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&lt;0,001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le décès toutes causes. Les patients sans évènement sont censurés à la date de point du centre. Un hazard ratio &gt; 1 est en faveur d'un risque plus élevé de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Modèle de régression de Cox multivariable stratifié sur le centre, incluant 42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Définie par un grade supérieur ou égal à III selon la classification de Clavien-Dindo.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2026-09-15T21:57:07Z</dcterms:modified>
  <cp:category/>
</cp:coreProperties>
</file>