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38" w:hRule="auto"/>
          <w:tblHeader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 </w:t>
            </w:r>
          </w:p>
        </w:tc>
        <w:tc>
          <w:tcPr>
            <w:gridSpan w:val="3"/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Analyse univariable</w:t>
            </w:r>
          </w:p>
        </w:tc>
        <w:tc>
          <w:tcPr>
            <w:gridSpan w:val="3"/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Analyse multivariable</w:t>
            </w:r>
          </w:p>
        </w:tc>
      </w:tr>
      <w:tr>
        <w:trPr>
          <w:trHeight w:val="638" w:hRule="auto"/>
          <w:tblHeader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Variable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n/N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HR [IC95%]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n/N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aHR [IC95%]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Protocole de chimiothérapie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0,070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0,23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Adjuvant seul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30/53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30/51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Péri-opératoire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34/50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1,58 [0,96 ; 2,59]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29/44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1,39 [0,82 ; 2,36]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Centre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CHU Nantes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18/25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CHD La Roche-sur-Yon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15/25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0,78 [0,39 ; 1,56]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CHU Angers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26/36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1,39 [0,76 ; 2,55]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CHU Lyon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5/17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0,53 [0,20 ; 1,42]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Âge au diagnostic, années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64/103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1,03 [0,89 ; 1,19]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59/95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1,05 [0,90 ; 1,22]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0,53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Résection chirurgicale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0,92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41/68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41/68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18/27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1,10 [0,63 ; 1,92]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18/27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1,03 [0,57 ; 1,85]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Complication post-opératoire majeure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3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60/98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3,05 [1,64 ; 5,69]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0,002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Le critère de jugement est le délai entre la chirurgie et la récidive ou le décès toutes causes. Les patients sans évènement sont censurés à la date de point du centre. Un hazard ratio &gt; 1 est en faveur d'un risque plus élevé de récidive ou décès toutes causes comparé au groupe de référence. HR : hazard ratio ; aHR : hazard ratio ajusté ; n/N : nombre d'évènements/nombre total d'observations ; IC95% : intervalle de confiance à 95%.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4"/>
                <w:szCs w:val="14"/>
                <w:color w:val="333333"/>
              </w:rPr>
              <w:t xml:space="preserve">1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Modèle de régression de Cox multivariable stratifié sur le centre, incluant 59 évènements pour 95 observations complètes (8 observations supprimées pour cause de données manquantes).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4"/>
                <w:szCs w:val="14"/>
                <w:color w:val="333333"/>
              </w:rPr>
              <w:t xml:space="preserve">2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Incrémentation par tranches de 5 ans.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4"/>
                <w:szCs w:val="14"/>
                <w:color w:val="333333"/>
              </w:rPr>
              <w:t xml:space="preserve">3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Définie par un grade supérieur ou égal à III selon la classification de Clavien-Dindo.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  <w:font w:name="Aptos">
    <w:altName w:val="Calibri"/>
    <w:charset w:val="00"/>
    <w:family w:val="swiss"/>
    <w:pitch w:val="variable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julien</cp:lastModifiedBy>
  <cp:revision>9</cp:revision>
  <dcterms:created xsi:type="dcterms:W3CDTF">2017-02-28T11:18:00Z</dcterms:created>
  <dcterms:modified xsi:type="dcterms:W3CDTF">2026-09-15T21:57:07Z</dcterms:modified>
  <cp:category/>
</cp:coreProperties>
</file>