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Décès toutes causes,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Premier évènement,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(62,0)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Décès sans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(6,0)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Censure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 (43,4)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(32,0)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2026-09-15T21:57:09Z</dcterms:modified>
  <cp:category/>
</cp:coreProperties>
</file>