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d'induction,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Chimiothérapie adjuvante,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avec dose relative moyenne &gt;= 80 %,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2026-09-15T21:57:11Z</dcterms:modified>
  <cp:category/>
</cp:coreProperties>
</file>