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Toxicité de grade III-IV,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32 (32,7)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(40,0)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Nausées/vomissement,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(13,3)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Neurotoxicité,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Diarrhée,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Asthénie,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(6,1)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Neutropénie,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0,36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Cytolyse/cholestase, n (%)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1/2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(1,0)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0,49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Patients ayant reçu au moins une cure de chimiothérapie d'induction ou adjuvante (100 sur 103 patients inclus). DM : données manquantes par groupe.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Selon la Common Terminology Criteria for Adverse Events (CTCAE) v5.0.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2026-09-15T21:57:25Z</dcterms:modified>
  <cp:category/>
</cp:coreProperties>
</file>