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366" w:type="dxa"/>
        <w:jc w:val="center"/>
        <w:tblInd w:w="0" w:type="dxa"/>
        <w:tblLayout w:type="fixed"/>
        <w:tblCellMar>
          <w:top w:w="0" w:type="dxa"/>
          <w:left w:w="60" w:type="dxa"/>
          <w:bottom w:w="0" w:type="dxa"/>
          <w:right w:w="60" w:type="dxa"/>
        </w:tblCellMar>
        <w:tblLook w:noHBand="0" w:noVBand="0" w:firstColumn="0" w:lastRow="0" w:lastColumn="0" w:firstRow="0"/>
      </w:tblPr>
      <w:tblGrid>
        <w:gridCol w:w="2489"/>
        <w:gridCol w:w="2190"/>
        <w:gridCol w:w="2340"/>
        <w:gridCol w:w="2347"/>
      </w:tblGrid>
      <w:tr>
        <w:trPr>
          <w:tblHeader w:val="true"/>
          <w:cantSplit w:val="true"/>
        </w:trPr>
        <w:tc>
          <w:tcPr>
            <w:tcW w:w="2489" w:type="dxa"/>
            <w:tcBorders>
              <w:top w:val="single" w:sz="16" w:space="0" w:color="D3D3D3"/>
              <w:lef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rPr/>
            </w:pPr>
            <w:r>
              <w:rPr/>
            </w:r>
          </w:p>
        </w:tc>
        <w:tc>
          <w:tcPr>
            <w:tcW w:w="2190" w:type="dxa"/>
            <w:tcBorders>
              <w:top w:val="single" w:sz="16" w:space="0" w:color="D3D3D3"/>
            </w:tcBorders>
          </w:tcPr>
          <w:p>
            <w:pPr>
              <w:pStyle w:val="Normal"/>
              <w:keepNext w:val="true"/>
              <w:spacing w:before="0" w:after="60"/>
              <w:rPr/>
            </w:pPr>
            <w:r>
              <w:rPr/>
            </w:r>
          </w:p>
        </w:tc>
        <w:tc>
          <w:tcPr>
            <w:tcW w:w="4687" w:type="dxa"/>
            <w:gridSpan w:val="2"/>
            <w:tcBorders>
              <w:top w:val="single" w:sz="16" w:space="0" w:color="D3D3D3"/>
              <w:bottom w:val="single" w:sz="16" w:space="0" w:color="33333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b/>
                <w:sz w:val="20"/>
              </w:rPr>
              <w:t>Chimiothérapie d'induction</w:t>
            </w:r>
          </w:p>
        </w:tc>
      </w:tr>
      <w:tr>
        <w:trPr>
          <w:tblHeader w:val="true"/>
          <w:cantSplit w:val="true"/>
        </w:trPr>
        <w:tc>
          <w:tcPr>
            <w:tcW w:w="2489" w:type="dxa"/>
            <w:tcBorders>
              <w:left w:val="single" w:sz="6" w:space="0" w:color="D3D3D3"/>
              <w:bottom w:val="single" w:sz="16" w:space="0" w:color="33333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b/>
                <w:sz w:val="20"/>
              </w:rPr>
              <w:t>Variable</w:t>
            </w:r>
          </w:p>
        </w:tc>
        <w:tc>
          <w:tcPr>
            <w:tcW w:w="2190" w:type="dxa"/>
            <w:tcBorders>
              <w:bottom w:val="single" w:sz="16" w:space="0" w:color="33333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**Total</w:t>
            </w:r>
          </w:p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(N=52)**</w:t>
            </w:r>
          </w:p>
        </w:tc>
        <w:tc>
          <w:tcPr>
            <w:tcW w:w="2340" w:type="dxa"/>
            <w:tcBorders>
              <w:bottom w:val="single" w:sz="16" w:space="0" w:color="33333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**Non</w:t>
            </w:r>
          </w:p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(n=33, 63,5%)**</w:t>
            </w:r>
          </w:p>
        </w:tc>
        <w:tc>
          <w:tcPr>
            <w:tcW w:w="2347" w:type="dxa"/>
            <w:tcBorders>
              <w:bottom w:val="single" w:sz="16" w:space="0" w:color="33333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**Oui</w:t>
            </w:r>
          </w:p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(n=19, 36,5%)**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Centre, n (%)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CHU Nantes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25 (48,1)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16 (48,5)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9 (47,4)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CHD Vendée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27 (51,9)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17 (51,5)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10 (52,6)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Sexe, n (%)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Femme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21 (40,4)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11 (33,3)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10 (52,6)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Homme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31 (59,6)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22 (66,7)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9 (47,4)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Âge au diagnostic, années, médiane (IQR)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66,4 (58,4—72,2)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66,9 (59,5—73,8)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66,3 (55,8—71,3)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Douleur au diagnostic, n (%)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Non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33 (63,5)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25 (75,8)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8 (42,1)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Oui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19 (36,5)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8 (24,2)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11 (57,9)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Type histologique, n (%)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Adénocarcinome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52 (100,0)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33 (100,0)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19 (100,0)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Autre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Localisation tumorale, n (%)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Tête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42 (82,4)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27 (84,4)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15 (78,9)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Corps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5 (9,8)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3 (9,4)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2 (10,5)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Queue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4 (7,8)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2 (6,2)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2 (10,5)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Donnée manquante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Stade TNM, n (%)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 (50,0)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 (100,0)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IIb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 (50,0)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 (100,0)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Donnée manquante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50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32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18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Stade T, n (%)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10 (20,0)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6 (19,4)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4 (21,1)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32 (64,0)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21 (67,7)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11 (57,9)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6 (12,0)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3 (9,7)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3 (15,8)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2 (4,0)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 (3,2)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 (5,3)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Donnée manquante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Stade N, n (%)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11 (22,0)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7 (22,6)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4 (21,1)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28 (56,0)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18 (58,1)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10 (52,6)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11 (22,0)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6 (19,4)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5 (26,3)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Donnée manquante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Stade M, n (%)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48 (98,0)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30 (100,0)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18 (94,7)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 (2,0)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 (5,3)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Donnée manquante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Résécabilité, n (%)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Résécable d'emblée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37 (72,5)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32 (100,0)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5 (26,3)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Borderline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10 (19,6)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10 (52,6)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Localement avancé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4 (7,8)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4 (21,1)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Donnée manquante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Résection chirurgicale, n (%)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R0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39 (75,0)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24 (72,7)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15 (78,9)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R1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13 (25,0)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9 (27,3)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4 (21,1)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R2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Durée d'hospitalisation, jours, médiane (IQR)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20,0 (14,0—27,0)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20,0 (12,5—26,0)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20,0 (15,0—27,0)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Donnée manquante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Complications post-opératoires, n (%)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Non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22 (44,0)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11 (35,5)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11 (57,9)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Oui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28 (56,0)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20 (64,5)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8 (42,1)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Donnée manquante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PS au diagnostic, n (%)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24 (61,5)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17 (77,3)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7 (41,2)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13 (33,3)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4 (18,2)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9 (52,9)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2 (5,1)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 (4,5)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 (5,9)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Donnée manquante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13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11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2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PS avant chimio d'induction, n (%)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12 (50,0)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4 (66,7)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8 (44,4)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10 (41,7)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2 (33,3)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8 (44,4)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2 (8,3)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2 (11,1)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Donnée manquante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28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27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PS pré-opératoire, n (%)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25 (69,4)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19 (90,5)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6 (40,0)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11 (30,6)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2 (9,5)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9 (60,0)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Donnée manquante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16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12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4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PS avant chimio adjuvante, n (%)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19 (43,2)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15 (51,7)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4 (26,7)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22 (50,0)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11 (37,9)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11 (73,3)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3 (6,8)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3 (10,3)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Donnée manquante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4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CA 19-9 au diagnostic, UI/L, médiane (IQR)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76,0 (19,0—107,0)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79,0 (29,5—100,5)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73,0 (19,0—184,0)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Donnée manquante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23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13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10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CA 19-9 pré-induction, UI/L, médiane (IQR)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103,0 (36,0—274,0)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NA (NA—NA)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103,0 (36,0—274,0)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Donnée manquante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47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33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14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CA 19-9 pré-opératoire, UI/L, médiane (IQR)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60,5 (37,0—89,0)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61,0 (2,0—89,0)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40,0 (37,0—175,0)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Donnée manquante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38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22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16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CA 19-9 post-opératoire, UI/L, médiane (IQR)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21,0 (12,0—42,0)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40,0 (12,0—52,0)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12,0 (11,0—27,0)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Donnée manquante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42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26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16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CA 19-9 avant chimio adjuvante, UI/L, médiane (IQR)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18,5 (7,0—50,0)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22,5 (7,0—50,0)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17,5 (11,5—404,0)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Donnée manquante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34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19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15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Induction : nombre de cures, médiane (IQR)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0,0 (0,0—5,5)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0,0 (0,0—0,0)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6,0 (4,0—10,0)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Induction : bolus 5-FU, n (%)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Sans bolus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50 (96,2)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33 (100,0)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17 (89,5)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Bolus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2 (3,8)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2 (10,5)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Induction : adaptation de doses, n (%)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Non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37 (71,2)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33 (100,0)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4 (21,1)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Oui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15 (28,8)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15 (78,9)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Induction : pourcentage d'adaptation, n (%)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Pas d'adaptation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36 (69,2)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33 (100,0)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3 (15,8)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&lt;=20%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3 (5,8)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3 (15,8)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&gt;20%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13 (25,0)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13 (68,4)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Induction : adaptation de dose avant C4, n (%)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Non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Oui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Donnée manquante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52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33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19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Induction : adaptation de dose avant C8, n (%)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Non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Oui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Donnée manquante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52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33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19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Induction : adaptation de dose avant C12, n (%)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Non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Oui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Donnée manquante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52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33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19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Induction : dose 5-FU, %, médiane (IQR)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0,0 (0,0—100,0)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0,0 (0,0—0,0)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100,0 (75,0—100,0)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Donnée manquante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Induction : dose irinotécan, %, médiane (IQR)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0,0 (0,0—55,0)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0,0 (0,0—0,0)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70,0 (50,0—100,0)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Induction : dose oxaliplatine, %, médiane (IQR)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0,0 (0,0—25,0)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0,0 (0,0—0,0)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75,0 (0,0—100,0)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Induction : EI grade 3-4, n (%)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Non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48 (92,3)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33 (100,0)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15 (78,9)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Oui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4 (7,7)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4 (21,1)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Induction : asthénie grade 3-4, n (%)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Non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51 (98,1)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33 (100,0)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18 (94,7)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Oui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 (1,9)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 (5,3)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Induction : diarrhée grade 3-4, n (%)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Non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52 (100,0)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33 (100,0)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19 (100,0)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Oui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Induction : vomissement grade 3-4, n (%)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Non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50 (96,2)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33 (100,0)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17 (89,5)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Oui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2 (3,8)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2 (10,5)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Induction : neutropénie grade 3-4, n (%)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Non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52 (100,0)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33 (100,0)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19 (100,0)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Oui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Induction : neurotoxicité grade 3-4, n (%)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Non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49 (94,2)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33 (100,0)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16 (84,2)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Oui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3 (5,8)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3 (15,8)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Induction : cytolyse/cholestase grade 3-4, n (%)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Non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50 (98,0)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32 (100,0)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18 (94,7)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Oui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 (2,0)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 (5,3)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Donnée manquante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Chimiothérapie adjuvante, n (%)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Non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5 (9,8)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2 (6,2)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3 (15,8)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Oui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46 (90,2)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30 (93,8)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16 (84,2)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Donnée manquante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Adjuvant : nombre de cures post-op, médiane (IQR)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6,0 (4,0—12,0)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11,0 (5,0—12,0)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5,0 (3,0—6,0)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Donnée manquante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Adjuvant : bolus 5-FU, n (%)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Sans bolus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48 (96,0)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31 (100,0)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17 (89,5)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Bolus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2 (4,0)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2 (10,5)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Donnée manquante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Adjuvant : pourcentage d'adaptation, n (%)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Non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7 (14,0)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3 (9,7)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4 (21,1)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&lt;=20%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43 (86,0)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28 (90,3)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15 (78,9)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&gt;20%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Donnée manquante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Adjuvant : adaptation de dose avant C4, n (%)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Non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Oui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Donnée manquante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52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33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19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Adjuvant : adaptation de dose avant C8, n (%)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Non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Oui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Donnée manquante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52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33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19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Adjuvant : adaptation de dose avant C12, n (%)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Non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Oui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Donnée manquante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52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33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19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Adjuvant : dose 5-FU, %, médiane (IQR)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77,0 (70,0—100,0)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75,0 (50,0—100,0)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80,0 (70,0—100,0)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Donnée manquante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Adjuvant : dose irinotécan, %, médiane (IQR)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64,0 (0,0—80,0)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51,0 (0,0—80,0)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70,0 (0,0—80,0)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Donnée manquante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Adjuvant : dose oxaliplatine, %, médiane (IQR)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0,0 (0,0—75,0)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0,0 (0,0—75,0)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50,0 (0,0—80,0)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Donnée manquante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Adjuvant : EI grade 3-4, n (%)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Non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39 (78,0)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20 (64,5)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19 (100,0)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Oui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11 (22,0)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11 (35,5)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Donnée manquante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Adjuvant : asthénie grade 3-4, n (%)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Non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45 (91,8)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26 (86,7)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19 (100,0)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Oui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4 (8,2)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4 (13,3)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Donnée manquante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Adjuvant : diarrhée grade 3-4, n (%)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Non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43 (86,0)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24 (77,4)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19 (100,0)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Oui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6 (12,0)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6 (19,4)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 (2,0)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 (3,2)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Donnée manquante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Adjuvant : nausées/vomissement grade 3-4, n (%)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Non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44 (88,0)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25 (80,6)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19 (100,0)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Oui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6 (12,0)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6 (19,4)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Donnée manquante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Adjuvant : neutropénie grade 3-4, n (%)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Non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50 (100,0)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31 (100,0)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19 (100,0)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Oui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Donnée manquante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Adjuvant : neurotoxicité grade 3-4, n (%)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Non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47 (94,0)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28 (90,3)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19 (100,0)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Oui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3 (6,0)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3 (9,7)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Donnée manquante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Adjuvant : cytolyse/cholestase grade 3-4, n (%)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Non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49 (100,0)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30 (100,0)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19 (100,0)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Oui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Donnée manquante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Type de progression, n (%)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Locale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11 (40,7)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6 (37,5)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5 (45,5)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Métastatique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12 (44,4)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6 (37,5)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6 (54,5)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Les deux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4 (14,8)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4 (25,0)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Donnée manquante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25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17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8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Progression locale, n (%)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Non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20 (80,0)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13 (81,2)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7 (77,8)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Oui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5 (20,0)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3 (18,8)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2 (22,2)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Donnée manquante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27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17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10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Progression ganglionnaire, n (%)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Non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19 (76,0)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12 (75,0)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7 (77,8)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Oui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6 (24,0)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4 (25,0)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2 (22,2)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Donnée manquante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27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17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10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Progression hépatique, n (%)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Non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13 (52,0)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8 (50,0)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5 (55,6)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Oui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12 (48,0)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8 (50,0)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4 (44,4)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Donnée manquante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27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17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10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Progression péritonéale, n (%)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Non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17 (68,0)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11 (68,8)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6 (66,7)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Oui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8 (32,0)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5 (31,2)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3 (33,3)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Donnée manquante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27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17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10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Progression cérébrale, n (%)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Non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24 (96,0)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16 (100,0)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8 (88,9)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Oui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 (4,0)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 (11,1)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Donnée manquante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27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17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10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Progression pulmonaire, n (%)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Non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20 (80,0)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14 (87,5)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6 (66,7)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Oui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5 (20,0)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2 (12,5)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3 (33,3)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Donnée manquante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27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17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10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Survie sans progression, jours, médiane (IQR)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NA (NA—NA)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NA (NA—NA)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NA (NA—NA)</w:t>
            </w:r>
          </w:p>
        </w:tc>
      </w:tr>
      <w:tr>
        <w:trPr>
          <w:cantSplit w:val="true"/>
        </w:trPr>
        <w:tc>
          <w:tcPr>
            <w:tcW w:w="2489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left"/>
              <w:rPr/>
            </w:pPr>
            <w:r>
              <w:rPr>
                <w:rFonts w:ascii="Calibri" w:hAnsi="Calibri"/>
                <w:sz w:val="20"/>
              </w:rPr>
              <w:t>    </w:t>
            </w:r>
            <w:r>
              <w:rPr>
                <w:rFonts w:ascii="Calibri" w:hAnsi="Calibri"/>
                <w:sz w:val="20"/>
              </w:rPr>
              <w:t>Donnée manquante</w:t>
            </w:r>
          </w:p>
        </w:tc>
        <w:tc>
          <w:tcPr>
            <w:tcW w:w="219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52</w:t>
            </w:r>
          </w:p>
        </w:tc>
        <w:tc>
          <w:tcPr>
            <w:tcW w:w="2340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33</w:t>
            </w:r>
          </w:p>
        </w:tc>
        <w:tc>
          <w:tcPr>
            <w:tcW w:w="2347" w:type="dxa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</w:tcPr>
          <w:p>
            <w:pPr>
              <w:pStyle w:val="Normal"/>
              <w:keepNext w:val="true"/>
              <w:spacing w:before="0" w:after="60"/>
              <w:jc w:val="center"/>
              <w:rPr/>
            </w:pPr>
            <w:r>
              <w:rPr>
                <w:rFonts w:ascii="Calibri" w:hAnsi="Calibri"/>
                <w:sz w:val="20"/>
              </w:rPr>
              <w:t>19</w:t>
            </w:r>
          </w:p>
        </w:tc>
      </w:tr>
      <w:tr>
        <w:trPr>
          <w:cantSplit w:val="true"/>
        </w:trPr>
        <w:tc>
          <w:tcPr>
            <w:tcW w:w="9366" w:type="dxa"/>
            <w:gridSpan w:val="4"/>
            <w:tcBorders/>
          </w:tcPr>
          <w:p>
            <w:pPr>
              <w:pStyle w:val="Normal"/>
              <w:keepNext w:val="true"/>
              <w:spacing w:before="0" w:after="60"/>
              <w:rPr/>
            </w:pPr>
            <w:r>
              <w:rPr>
                <w:rFonts w:ascii="Calibri" w:hAnsi="Calibri"/>
                <w:sz w:val="20"/>
              </w:rPr>
              <w:t>IQR : intervalle interquartile.</w:t>
            </w:r>
          </w:p>
        </w:tc>
      </w:tr>
    </w:tbl>
    <w:p>
      <w:pPr>
        <w:pStyle w:val="Normal"/>
        <w:widowControl/>
        <w:bidi w:val="0"/>
        <w:spacing w:before="0" w:after="20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Caractresdenotedebasdepage">
    <w:name w:val="Caractères de note de bas de page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3B4F"/>
      <w:shd w:fill="F1F3F5" w:val="clear"/>
    </w:rPr>
  </w:style>
  <w:style w:type="character" w:styleId="DataTypeTok" w:customStyle="1">
    <w:name w:val="DataTypeTok"/>
    <w:basedOn w:val="VerbatimChar"/>
    <w:qFormat/>
    <w:rPr>
      <w:color w:val="AD0000"/>
      <w:shd w:fill="F1F3F5" w:val="clear"/>
    </w:rPr>
  </w:style>
  <w:style w:type="character" w:styleId="DecValTok" w:customStyle="1">
    <w:name w:val="DecValTok"/>
    <w:basedOn w:val="VerbatimChar"/>
    <w:qFormat/>
    <w:rPr>
      <w:color w:val="AD0000"/>
      <w:shd w:fill="F1F3F5" w:val="clear"/>
    </w:rPr>
  </w:style>
  <w:style w:type="character" w:styleId="BaseNTok" w:customStyle="1">
    <w:name w:val="BaseNTok"/>
    <w:basedOn w:val="VerbatimChar"/>
    <w:qFormat/>
    <w:rPr>
      <w:color w:val="AD0000"/>
      <w:shd w:fill="F1F3F5" w:val="clear"/>
    </w:rPr>
  </w:style>
  <w:style w:type="character" w:styleId="FloatTok" w:customStyle="1">
    <w:name w:val="FloatTok"/>
    <w:basedOn w:val="VerbatimChar"/>
    <w:qFormat/>
    <w:rPr>
      <w:color w:val="AD0000"/>
      <w:shd w:fill="F1F3F5" w:val="clear"/>
    </w:rPr>
  </w:style>
  <w:style w:type="character" w:styleId="ConstantTok" w:customStyle="1">
    <w:name w:val="ConstantTok"/>
    <w:basedOn w:val="VerbatimChar"/>
    <w:qFormat/>
    <w:rPr>
      <w:color w:val="8F5902"/>
      <w:shd w:fill="F1F3F5" w:val="clear"/>
    </w:rPr>
  </w:style>
  <w:style w:type="character" w:styleId="CharTok" w:customStyle="1">
    <w:name w:val="CharTok"/>
    <w:basedOn w:val="VerbatimChar"/>
    <w:qFormat/>
    <w:rPr>
      <w:color w:val="20794D"/>
      <w:shd w:fill="F1F3F5" w:val="clear"/>
    </w:rPr>
  </w:style>
  <w:style w:type="character" w:styleId="SpecialCharTok" w:customStyle="1">
    <w:name w:val="SpecialCharTok"/>
    <w:basedOn w:val="VerbatimChar"/>
    <w:qFormat/>
    <w:rPr>
      <w:color w:val="5E5E5E"/>
      <w:shd w:fill="F1F3F5" w:val="clear"/>
    </w:rPr>
  </w:style>
  <w:style w:type="character" w:styleId="StringTok" w:customStyle="1">
    <w:name w:val="StringTok"/>
    <w:basedOn w:val="VerbatimChar"/>
    <w:qFormat/>
    <w:rPr>
      <w:color w:val="20794D"/>
      <w:shd w:fill="F1F3F5" w:val="clear"/>
    </w:rPr>
  </w:style>
  <w:style w:type="character" w:styleId="VerbatimStringTok" w:customStyle="1">
    <w:name w:val="VerbatimStringTok"/>
    <w:basedOn w:val="VerbatimChar"/>
    <w:qFormat/>
    <w:rPr>
      <w:color w:val="20794D"/>
      <w:shd w:fill="F1F3F5" w:val="clear"/>
    </w:rPr>
  </w:style>
  <w:style w:type="character" w:styleId="SpecialStringTok" w:customStyle="1">
    <w:name w:val="SpecialStringTok"/>
    <w:basedOn w:val="VerbatimChar"/>
    <w:qFormat/>
    <w:rPr>
      <w:color w:val="20794D"/>
      <w:shd w:fill="F1F3F5" w:val="clear"/>
    </w:rPr>
  </w:style>
  <w:style w:type="character" w:styleId="ImportTok" w:customStyle="1">
    <w:name w:val="ImportTok"/>
    <w:basedOn w:val="VerbatimChar"/>
    <w:qFormat/>
    <w:rPr>
      <w:color w:val="00769E"/>
      <w:shd w:fill="F1F3F5" w:val="clear"/>
    </w:rPr>
  </w:style>
  <w:style w:type="character" w:styleId="CommentTok" w:customStyle="1">
    <w:name w:val="CommentTok"/>
    <w:basedOn w:val="VerbatimChar"/>
    <w:qFormat/>
    <w:rPr>
      <w:color w:val="5E5E5E"/>
      <w:shd w:fill="F1F3F5" w:val="clear"/>
    </w:rPr>
  </w:style>
  <w:style w:type="character" w:styleId="DocumentationTok" w:customStyle="1">
    <w:name w:val="DocumentationTok"/>
    <w:basedOn w:val="VerbatimChar"/>
    <w:qFormat/>
    <w:rPr>
      <w:i/>
      <w:color w:val="5E5E5E"/>
      <w:shd w:fill="F1F3F5" w:val="clear"/>
    </w:rPr>
  </w:style>
  <w:style w:type="character" w:styleId="AnnotationTok" w:customStyle="1">
    <w:name w:val="AnnotationTok"/>
    <w:basedOn w:val="VerbatimChar"/>
    <w:qFormat/>
    <w:rPr>
      <w:color w:val="5E5E5E"/>
      <w:shd w:fill="F1F3F5" w:val="clear"/>
    </w:rPr>
  </w:style>
  <w:style w:type="character" w:styleId="CommentVarTok" w:customStyle="1">
    <w:name w:val="CommentVarTok"/>
    <w:basedOn w:val="VerbatimChar"/>
    <w:qFormat/>
    <w:rPr>
      <w:i/>
      <w:color w:val="5E5E5E"/>
      <w:shd w:fill="F1F3F5" w:val="clear"/>
    </w:rPr>
  </w:style>
  <w:style w:type="character" w:styleId="OtherTok" w:customStyle="1">
    <w:name w:val="OtherTok"/>
    <w:basedOn w:val="VerbatimChar"/>
    <w:qFormat/>
    <w:rPr>
      <w:color w:val="003B4F"/>
      <w:shd w:fill="F1F3F5" w:val="clear"/>
    </w:rPr>
  </w:style>
  <w:style w:type="character" w:styleId="FunctionTok" w:customStyle="1">
    <w:name w:val="FunctionTok"/>
    <w:basedOn w:val="VerbatimChar"/>
    <w:qFormat/>
    <w:rPr>
      <w:color w:val="4758AB"/>
      <w:shd w:fill="F1F3F5" w:val="clear"/>
    </w:rPr>
  </w:style>
  <w:style w:type="character" w:styleId="VariableTok" w:customStyle="1">
    <w:name w:val="VariableTok"/>
    <w:basedOn w:val="VerbatimChar"/>
    <w:qFormat/>
    <w:rPr>
      <w:color w:val="111111"/>
      <w:shd w:fill="F1F3F5" w:val="clear"/>
    </w:rPr>
  </w:style>
  <w:style w:type="character" w:styleId="ControlFlowTok" w:customStyle="1">
    <w:name w:val="ControlFlowTok"/>
    <w:basedOn w:val="VerbatimChar"/>
    <w:qFormat/>
    <w:rPr>
      <w:b/>
      <w:color w:val="003B4F"/>
      <w:shd w:fill="F1F3F5" w:val="clear"/>
    </w:rPr>
  </w:style>
  <w:style w:type="character" w:styleId="OperatorTok" w:customStyle="1">
    <w:name w:val="OperatorTok"/>
    <w:basedOn w:val="VerbatimChar"/>
    <w:qFormat/>
    <w:rPr>
      <w:color w:val="5E5E5E"/>
      <w:shd w:fill="F1F3F5" w:val="clear"/>
    </w:rPr>
  </w:style>
  <w:style w:type="character" w:styleId="BuiltInTok" w:customStyle="1">
    <w:name w:val="BuiltInTok"/>
    <w:basedOn w:val="VerbatimChar"/>
    <w:qFormat/>
    <w:rPr>
      <w:color w:val="003B4F"/>
      <w:shd w:fill="F1F3F5" w:val="clear"/>
    </w:rPr>
  </w:style>
  <w:style w:type="character" w:styleId="ExtensionTok" w:customStyle="1">
    <w:name w:val="ExtensionTok"/>
    <w:basedOn w:val="VerbatimChar"/>
    <w:qFormat/>
    <w:rPr>
      <w:color w:val="003B4F"/>
      <w:shd w:fill="F1F3F5" w:val="clear"/>
    </w:rPr>
  </w:style>
  <w:style w:type="character" w:styleId="PreprocessorTok" w:customStyle="1">
    <w:name w:val="PreprocessorTok"/>
    <w:basedOn w:val="VerbatimChar"/>
    <w:qFormat/>
    <w:rPr>
      <w:color w:val="AD0000"/>
      <w:shd w:fill="F1F3F5" w:val="clear"/>
    </w:rPr>
  </w:style>
  <w:style w:type="character" w:styleId="AttributeTok" w:customStyle="1">
    <w:name w:val="AttributeTok"/>
    <w:basedOn w:val="VerbatimChar"/>
    <w:qFormat/>
    <w:rPr>
      <w:color w:val="657422"/>
      <w:shd w:fill="F1F3F5" w:val="clear"/>
    </w:rPr>
  </w:style>
  <w:style w:type="character" w:styleId="RegionMarkerTok" w:customStyle="1">
    <w:name w:val="RegionMarkerTok"/>
    <w:basedOn w:val="VerbatimChar"/>
    <w:qFormat/>
    <w:rPr>
      <w:color w:val="003B4F"/>
      <w:shd w:fill="F1F3F5" w:val="clear"/>
    </w:rPr>
  </w:style>
  <w:style w:type="character" w:styleId="InformationTok" w:customStyle="1">
    <w:name w:val="InformationTok"/>
    <w:basedOn w:val="VerbatimChar"/>
    <w:qFormat/>
    <w:rPr>
      <w:color w:val="5E5E5E"/>
      <w:shd w:fill="F1F3F5" w:val="clear"/>
    </w:rPr>
  </w:style>
  <w:style w:type="character" w:styleId="WarningTok" w:customStyle="1">
    <w:name w:val="WarningTok"/>
    <w:basedOn w:val="VerbatimChar"/>
    <w:qFormat/>
    <w:rPr>
      <w:i/>
      <w:color w:val="5E5E5E"/>
      <w:shd w:fill="F1F3F5" w:val="clear"/>
    </w:rPr>
  </w:style>
  <w:style w:type="character" w:styleId="AlertTok" w:customStyle="1">
    <w:name w:val="AlertTok"/>
    <w:basedOn w:val="VerbatimChar"/>
    <w:qFormat/>
    <w:rPr>
      <w:color w:val="AD0000"/>
      <w:shd w:fill="F1F3F5" w:val="clear"/>
    </w:rPr>
  </w:style>
  <w:style w:type="character" w:styleId="ErrorTok" w:customStyle="1">
    <w:name w:val="ErrorTok"/>
    <w:basedOn w:val="VerbatimChar"/>
    <w:qFormat/>
    <w:rPr>
      <w:color w:val="AD0000"/>
      <w:shd w:fill="F1F3F5" w:val="clear"/>
    </w:rPr>
  </w:style>
  <w:style w:type="character" w:styleId="NormalTok" w:customStyle="1">
    <w:name w:val="NormalTok"/>
    <w:basedOn w:val="VerbatimChar"/>
    <w:qFormat/>
    <w:rPr>
      <w:color w:val="003B4F"/>
      <w:shd w:fill="F1F3F5" w:val="clear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Titre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>
      <w:shd w:val="clear" w:fill="F1F3F5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9</Pages>
  <Words>1487</Words>
  <Characters>6046</Characters>
  <CharactersWithSpaces>7363</CharactersWithSpaces>
  <Paragraphs>754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2026-04-02T21:56:05Z</dcterms:created>
  <dc:creator/>
  <dc:description/>
  <dc:language>fr-FR</dc:language>
  <cp:lastModifiedBy/>
  <dcterms:modified xsi:type="dcterms:W3CDTF">2026-04-03T14:40:33Z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