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0,98 [0,55 ; 1,76]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0,77 [0,40 ; 1,47]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0,88 [0,41 ; 1,91]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[0,54 ; 2,21]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0,35 [0,08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[0,93 ; 1,31]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42/95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1,11 [0,93 ; 1,33]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1,29 [0,68 ; 2,45]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1,22 [0,62 ; 2,39]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 majeure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43/98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4,88 [2,45 ; 9,71]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&lt;0,001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Modèle de régression de Cox multivariable stratifié sur le centre, incluant 42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Définie par un grade supérieur ou égal à III selon la classification de Clavien-Dindo.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le décès toutes causes. Les patients sans évènement sont censurés à la date de point du centre. Un hazard ratio &gt; 1 est en faveur d'un risque plus élevé de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2026-09-10T12:48:16Z</dcterms:modified>
  <cp:category/>
</cp:coreProperties>
</file>