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Toxicité de grade III-IV,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la Common Terminology Criteria for Adverse Events (CTCAE) v5.0.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2026-09-10T12:48:24Z</dcterms:modified>
  <cp:category/>
</cp:coreProperties>
</file>