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33333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Chimiothérapie d'induction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33333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**Total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(N=52)**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**Non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(n=33, 63,5%)**</w:t>
            </w:r>
          </w:p>
        </w:tc>
        <w:tc>
          <w:tcPr>
            <w:tcBorders>
              <w:bottom w:val="single" w:sz="16" w:space="0" w:color="33333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**Oui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(n=19, 36,5%)**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CHU Nantes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(48,5)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CHD Vendée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(51,9)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(51,5)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(40,4)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Âge au diagnostic, années,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66,4 (58,4—72,2)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66,9 (59,5—73,8)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 (55,8—71,3)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Douleur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(63,5)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(75,8)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(36,5)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histologique,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Adénocarcinome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Localisation tumorale,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Tête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(82,7)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(84,8)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Corps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Queue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TNM,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(64,0)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(22,6)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Résécabilité,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Résécable d'emblée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Borderline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Localement avancé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Résection chirurgicale,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(72,7)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(27,3)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Durée d'hospitalisation,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(14,0—27,0)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(12,5—26,0)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(15,0—27,0)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Complications post-opératoires,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(62,5)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(78,3)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(41,2)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(52,9)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d'induction,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pré-opératoire,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(90,9)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(9,1)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au diagnostic,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76,0 (19,0—107,0)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79,0 (29,5—100,5)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73,0 (19,0—184,0)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pré-induction,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 (37,0—89,0)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61,0 (2,0—89,0)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(37,0—175,0)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post-opératoire,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 (12,0—42,0)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(12,0—52,0)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 (11,0—27,0)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avant chimio adjuvante,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 (11,5—404,0)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nombre de cures,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d'adaptation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(68,4)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60,0 (0,0—100,0)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100,0 (75,0—100,0)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(50,0—100,0)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(88,6)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(11,4)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(97,1)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(91,4)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Chimiothérapie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(90,2)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nombre de cures post-op,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 (5,0—12,0)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 (3,0—6,0)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77,0 (70,0—100,0)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(50,0—100,0)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80,0 (70,0—100,0)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(91,8)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(77,4)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nausées/vomissement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(88,0)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(80,6)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de progression,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(40,7)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(45,5)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Métastatique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(44,4)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(54,5)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locale,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(81,2)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ganglionnaire,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hépatique,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(55,6)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péritonéale,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cérébrale,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(88,9)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pulmonaire,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(87,5)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Survie sans progression,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IQR : intervalle interquartile.</w:t>
            </w:r>
          </w:p>
        </w:tc>
      </w:tr>
    </w:tbl>
    <w:p>
      <w:r>
        <w:br w:type="page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2026-04-29T21:44:41Z</dcterms:created>
  <dcterms:modified xsi:type="dcterms:W3CDTF">2026-04-29T21:44:41Z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