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Date"/>
      </w:pPr>
      <w:r>
        <w:t xml:space="preserve">2026-09-17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"1-4" \h \z \u</w:instrText>
            <w:fldChar w:fldCharType="separate"/>
            <w:fldChar w:fldCharType="end"/>
          </w:r>
        </w:p>
      </w:sdtContent>
    </w:sdt>
    <w:p>
      <w:pPr>
        <w:spacing w:before="0" w:after="0" w:line="20" w:lineRule="exact"/>
        <w:rPr>
          <w:sz w:val="2"/>
          <w:szCs w:val="2"/>
        </w:rPr>
      </w:pPr>
      <w:r>
        <w:rPr>
          <w:sz w:val="2"/>
          <w:szCs w:val="2"/>
        </w:rPr>
        <w:br w:type="page"/>
      </w:r>
    </w:p>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i/>
          <w:iCs/>
        </w:rPr>
        <w:t xml:space="preserve">survival</w:t>
      </w:r>
      <w:r>
        <w:t xml:space="preserve"> </w:t>
      </w:r>
      <w:r>
        <w:t xml:space="preserve">(version 3.8.6).</w:t>
      </w:r>
      <w:r>
        <w:t xml:space="preserve"> </w:t>
      </w:r>
      <w:r>
        <w:t xml:space="preserve">Les modèles de comptage ont été obtenus avec</w:t>
      </w:r>
      <w:r>
        <w:t xml:space="preserve"> </w:t>
      </w:r>
      <w:r>
        <w:rPr>
          <w:i/>
          <w:iCs/>
        </w:rPr>
        <w:t xml:space="preserve">stats::glm</w:t>
      </w:r>
      <w:r>
        <w:t xml:space="preserve"> </w:t>
      </w:r>
      <w:r>
        <w:t xml:space="preserve">(familles Poisson et quasi-Poisson), et leurs diagnostics avec</w:t>
      </w:r>
      <w:r>
        <w:t xml:space="preserve"> </w:t>
      </w:r>
      <w:r>
        <w:rPr>
          <w:i/>
          <w:iCs/>
        </w:rPr>
        <w:t xml:space="preserve">performance</w:t>
      </w:r>
      <w:r>
        <w:t xml:space="preserve"> </w:t>
      </w:r>
      <w:r>
        <w:t xml:space="preserve">(version 0.18.2).</w:t>
      </w:r>
      <w:r>
        <w:t xml:space="preserve"> </w:t>
      </w:r>
      <w:r>
        <w:t xml:space="preserve">Les p-valeurs globales par variable ont été obtenues avec</w:t>
      </w:r>
      <w:r>
        <w:t xml:space="preserve"> </w:t>
      </w:r>
      <w:r>
        <w:rPr>
          <w:i/>
          <w:iCs/>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3. Recul de suivi, selon le protocole de chimiothérapie.</w:t>
            </w:r>
          </w:p>
          <w:p>
            <w:pPr>
              <w:pStyle w:val="ImageCaptionSubtitle"/>
            </w:pPr>
            <w:r>
              <w:t xml:space="preserve">Recul de suivi estimé par la méthode de Kaplan-Meier inversée : l’évènement est la fin du suivi, la censure est le décès.</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bookmarkEnd w:id="64"/>
    <w:bookmarkStart w:id="78" w:name="survie-globale"/>
    <w:p>
      <w:pPr>
        <w:pStyle w:val="Heading3"/>
      </w:pPr>
      <w:r>
        <w:t xml:space="preserve">Survie globale</w:t>
      </w:r>
    </w:p>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4. Survie globale dans la population totale.</w:t>
            </w:r>
          </w:p>
          <w:p>
            <w:pPr>
              <w:pStyle w:val="ImageCaptionSubtitle"/>
            </w:pPr>
            <w:r>
              <w:t xml:space="preserve">Les évènements et censures sont présentés en effectifs cumulés au cours du temps.</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5. Survie globale, selon le protocole de chimiothérapie.</w:t>
            </w:r>
          </w:p>
          <w:p>
            <w:pPr>
              <w:pStyle w:val="ImageCaptionSubtitle"/>
            </w:pPr>
            <w:r>
              <w:t xml:space="preserve">Les évènements et censures sont présentés en effectifs cumulés au cours du temps.</w:t>
            </w:r>
          </w:p>
          <w:bookmarkEnd w:id="74"/>
        </w:tc>
      </w:tr>
    </w:tbl>
    <w:bookmarkEnd w:id="75"/>
    <w:bookmarkStart w:id="77" w:name="modèles-de-cox-1"/>
    <w:p>
      <w:pPr>
        <w:pStyle w:val="Heading4"/>
      </w:pPr>
      <w:r>
        <w:t xml:space="preserve">Modèles de Cox</w:t>
      </w:r>
    </w:p>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6. Survie sans récidive dans la population totale.</w:t>
            </w:r>
          </w:p>
          <w:p>
            <w:pPr>
              <w:pStyle w:val="ImageCaptionSubtitle"/>
            </w:pPr>
            <w:r>
              <w:t xml:space="preserve">Les évènements et censures sont présentés en effectifs cumulés au cours du temps.</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7. Survie sans récidive, selon le protocole de chimiothérapie.</w:t>
            </w:r>
          </w:p>
          <w:p>
            <w:pPr>
              <w:pStyle w:val="ImageCaptionSubtitle"/>
            </w:pPr>
            <w:r>
              <w:t xml:space="preserve">Les évènements et censures sont présentés en effectifs cumulés au cours du temps.</w:t>
            </w:r>
          </w:p>
          <w:bookmarkEnd w:id="88"/>
        </w:tc>
      </w:tr>
    </w:tbl>
    <w:bookmarkEnd w:id="89"/>
    <w:bookmarkStart w:id="91" w:name="modèles-de-cox-2"/>
    <w:p>
      <w:pPr>
        <w:pStyle w:val="Heading4"/>
      </w:pPr>
      <w:r>
        <w:t xml:space="preserve">Modèles de Cox</w:t>
      </w:r>
    </w:p>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vif_adj</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p>
      <w:pPr>
        <w:pStyle w:val="BodyText"/>
      </w:pPr>
      <w:r>
        <w:t xml:space="preserve">1 = absence de corrélation ; &lt;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p>
      <w:pPr>
        <w:pStyle w:val="BodyText"/>
      </w:pPr>
      <w:r>
        <w:t xml:space="preserve">L’hypothèse des risques proportionnels n’était mise en défaut ni pour l’ensemble du modèle (p=0,49), ni pour aucune des variables prises séparément.</w:t>
      </w:r>
    </w:p>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uppressAutoHyphens/>
      <w:spacing w:after="120" w:before="120"/>
    </w:pPr>
  </w:style>
  <w:style w:styleId="BodyText" w:type="paragraph">
    <w:name w:val="Body Text"/>
    <w:basedOn w:val="Normal"/>
    <w:link w:val="BodyTextChar"/>
    <w:qFormat/>
    <w:pPr>
      <w:suppressAutoHyphens w:val="0"/>
      <w:spacing w:line="360"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uppressAutoHyphens/>
      <w:spacing w:after="36" w:before="36"/>
      <w:jc w:val="left"/>
    </w:pPr>
  </w:style>
  <w:style w:styleId="Title" w:type="paragraph">
    <w:name w:val="Title"/>
    <w:basedOn w:val="Normal"/>
    <w:next w:val="BodyText"/>
    <w:link w:val="TitleChar"/>
    <w:qFormat/>
    <w:pPr>
      <w:spacing w:after="480" w:before="480"/>
      <w:contextualSpacing/>
      <w:jc w:val="center"/>
    </w:pPr>
    <w:rPr>
      <w:b/>
      <w:bCs/>
      <w:color w:val="1B4377"/>
      <w:spacing w:val="5"/>
      <w:kern w:val="28"/>
      <w:sz w:val="56"/>
      <w:szCs w:val="48"/>
    </w:rPr>
  </w:style>
  <w:style w:customStyle="1" w:styleId="TitleChar" w:type="character">
    <w:name w:val="Title Char"/>
    <w:basedOn w:val="DefaultParagraphFont"/>
    <w:link w:val="Title"/>
    <w:qFormat/>
    <w:rPr>
      <w:b/>
      <w:bCs/>
      <w:color w:val="1B4377"/>
      <w:spacing w:val="5"/>
      <w:kern w:val="28"/>
      <w:sz w:val="56"/>
      <w:szCs w:val="48"/>
    </w:rPr>
  </w:style>
  <w:style w:styleId="Subtitle" w:type="paragraph">
    <w:name w:val="Subtitle"/>
    <w:basedOn w:val="Title"/>
    <w:next w:val="BodyText"/>
    <w:link w:val="SubtitleChar"/>
    <w:qFormat/>
    <w:rPr>
      <w:b w:val="0"/>
      <w:bCs w:val="0"/>
      <w:spacing w:val="0"/>
      <w:kern w:val="0"/>
      <w:sz w:val="48"/>
      <w:szCs w:val="28"/>
    </w:rPr>
  </w:style>
  <w:style w:customStyle="1" w:styleId="SubtitleChar" w:type="character">
    <w:name w:val="Subtitle Char"/>
    <w:basedOn w:val="DefaultParagraphFont"/>
    <w:link w:val="Subtitle"/>
    <w:qFormat/>
    <w:rPr>
      <w:color w:val="1B4377"/>
      <w:sz w:val="48"/>
      <w:szCs w:val="28"/>
    </w:rPr>
  </w:style>
  <w:style w:customStyle="1" w:styleId="Author" w:type="paragraph">
    <w:name w:val="Author"/>
    <w:basedOn w:val="Normal"/>
    <w:next w:val="BodyText"/>
    <w:qFormat/>
    <w:pPr>
      <w:keepNext/>
      <w:keepLines/>
      <w:spacing w:after="60"/>
      <w:jc w:val="center"/>
    </w:pPr>
    <w:rPr>
      <w:b/>
      <w:bCs/>
      <w:color w:val="111111"/>
      <w:sz w:val="32"/>
    </w:rPr>
  </w:style>
  <w:style w:styleId="Date" w:type="paragraph">
    <w:name w:val="Date"/>
    <w:basedOn w:val="Normal"/>
    <w:next w:val="BodyText"/>
    <w:qFormat/>
    <w:pPr>
      <w:keepNext/>
      <w:keepLines/>
      <w:spacing w:after="60"/>
      <w:jc w:val="center"/>
    </w:pPr>
    <w:rPr>
      <w:bCs/>
      <w:color w:val="111111"/>
      <w:sz w:val="3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200" w:before="200"/>
      <w:ind w:hanging="862" w:left="862"/>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160" w:before="160"/>
      <w:ind w:hanging="1009" w:left="1009"/>
      <w:outlineLvl w:val="3"/>
    </w:pPr>
    <w:rPr>
      <w:b/>
      <w:bCs/>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rPr>
      <w:b/>
      <w:bCs/>
      <w:color w:val="111111"/>
      <w:sz w:val="20"/>
      <w:szCs w:val="20"/>
    </w:rPr>
  </w:style>
  <w:style w:customStyle="1" w:styleId="TableCaption" w:type="paragraph">
    <w:name w:val="Table Caption"/>
    <w:basedOn w:val="Caption"/>
    <w:qFormat/>
    <w:pPr>
      <w:keepNext/>
      <w:spacing w:after="240" w:before="240"/>
      <w:jc w:val="center"/>
    </w:pPr>
  </w:style>
  <w:style w:customStyle="1" w:styleId="ImageCaption" w:type="paragraph">
    <w:name w:val="Image Caption"/>
    <w:basedOn w:val="Caption"/>
    <w:qFormat/>
  </w:style>
  <w:style w:customStyle="1" w:styleId="Figure" w:type="paragraph">
    <w:name w:val="Figure"/>
    <w:basedOn w:val="Normal"/>
    <w:qFormat/>
    <w:pPr>
      <w:jc w:val="center"/>
    </w:pPr>
  </w:style>
  <w:style w:customStyle="1" w:styleId="CaptionedFigure" w:type="paragraph">
    <w:name w:val="Captioned Figure"/>
    <w:basedOn w:val="Figure"/>
    <w:qFormat/>
    <w:pPr>
      <w:keepNext/>
      <w:spacing w:after="240" w:before="240"/>
    </w:pPr>
  </w:style>
  <w:style w:customStyle="1" w:styleId="BodyTextChar" w:type="character">
    <w:name w:val="Body Text Char"/>
    <w:basedOn w:val="DefaultParagraphFont"/>
    <w:link w:val="BodyText"/>
    <w:qFormat/>
    <w:rPr>
      <w:sz w:val="22"/>
      <w:szCs w:val="22"/>
    </w:rPr>
  </w:style>
  <w:style w:customStyle="1" w:styleId="VerbatimChar" w:type="character">
    <w:name w:val="Verbatim Char"/>
    <w:basedOn w:val="BodyTextChar"/>
    <w:qFormat/>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jc w:val="center"/>
      <w:outlineLvl w:val="9"/>
    </w:pPr>
  </w:style>
  <w:style w:customStyle="1" w:styleId="TableCaptionTitle" w:type="paragraph">
    <w:name w:val="Table Caption Title"/>
    <w:basedOn w:val="TableCaption"/>
    <w:qFormat/>
    <w:pPr>
      <w:keepNext/>
      <w:spacing w:after="0"/>
    </w:pPr>
  </w:style>
  <w:style w:customStyle="1" w:styleId="TableCaptionSubtitle" w:type="paragraph">
    <w:name w:val="Table Caption Subtitle"/>
    <w:basedOn w:val="TableCaption"/>
    <w:qFormat/>
    <w:pPr>
      <w:spacing w:before="0"/>
    </w:pPr>
    <w:rPr>
      <w:b w:val="0"/>
      <w:bCs w:val="0"/>
      <w:color w:val="555555"/>
      <w:sz w:val="18"/>
      <w:szCs w:val="18"/>
    </w:rPr>
  </w:style>
  <w:style w:customStyle="1" w:styleId="ImageCaptionTitle" w:type="paragraph">
    <w:name w:val="Image Caption Title"/>
    <w:basedOn w:val="ImageCaption"/>
    <w:qFormat/>
    <w:pPr>
      <w:keepNext/>
      <w:spacing w:after="0"/>
    </w:pPr>
  </w:style>
  <w:style w:customStyle="1" w:styleId="ImageCaptionSubtitle" w:type="paragraph">
    <w:name w:val="Image Caption Subtitle"/>
    <w:basedOn w:val="ImageCaption"/>
    <w:qFormat/>
    <w:pPr>
      <w:spacing w:before="0"/>
    </w:pPr>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styleId="TOC1" w:type="paragraph">
    <w:name w:val="toc 1"/>
    <w:basedOn w:val="Normal"/>
    <w:next w:val="Normal"/>
    <w:uiPriority w:val="39"/>
    <w:unhideWhenUsed/>
    <w:qFormat/>
    <w:pPr>
      <w:tabs>
        <w:tab w:pos="480" w:val="left"/>
        <w:tab w:leader="dot" w:pos="9056" w:val="right"/>
      </w:tabs>
      <w:spacing w:after="40" w:before="40"/>
    </w:pPr>
    <w:rPr>
      <w:b/>
      <w:noProof/>
      <w:sz w:val="22"/>
    </w:rPr>
  </w:style>
  <w:style w:styleId="TOC2" w:type="paragraph">
    <w:name w:val="toc 2"/>
    <w:basedOn w:val="TOC1"/>
    <w:next w:val="Normal"/>
    <w:uiPriority w:val="39"/>
    <w:unhideWhenUsed/>
    <w:qFormat/>
    <w:pPr>
      <w:ind w:left="238"/>
    </w:pPr>
    <w:rPr>
      <w:b w:val="0"/>
      <w:sz w:val="20"/>
    </w:rPr>
  </w:style>
  <w:style w:styleId="TOC3" w:type="paragraph">
    <w:name w:val="toc 3"/>
    <w:basedOn w:val="TOC1"/>
    <w:next w:val="Normal"/>
    <w:uiPriority w:val="39"/>
    <w:unhideWhenUsed/>
    <w:qFormat/>
    <w:pPr>
      <w:ind w:left="482"/>
    </w:pPr>
    <w:rPr>
      <w:b w:val="0"/>
      <w:sz w:val="20"/>
    </w:rPr>
  </w:style>
  <w:style w:styleId="TOC4" w:type="paragraph">
    <w:name w:val="toc 4"/>
    <w:basedOn w:val="TOC1"/>
    <w:next w:val="Normal"/>
    <w:uiPriority w:val="39"/>
    <w:unhideWhenUsed/>
    <w:qFormat/>
    <w:pPr>
      <w:ind w:left="726"/>
    </w:pPr>
    <w:rPr>
      <w:b w:val="0"/>
      <w:sz w:val="20"/>
    </w:rPr>
  </w:style>
  <w:style w:styleId="TOC5" w:type="paragraph">
    <w:name w:val="toc 5"/>
    <w:basedOn w:val="TOC1"/>
    <w:next w:val="Normal"/>
    <w:uiPriority w:val="39"/>
    <w:unhideWhenUsed/>
    <w:qFormat/>
    <w:pPr>
      <w:ind w:left="970"/>
    </w:pPr>
    <w:rPr>
      <w:b w:val="0"/>
      <w:sz w:val="20"/>
    </w:rPr>
  </w:style>
  <w:style w:styleId="TOC6" w:type="paragraph">
    <w:name w:val="toc 6"/>
    <w:basedOn w:val="TOC1"/>
    <w:next w:val="Normal"/>
    <w:uiPriority w:val="39"/>
    <w:unhideWhenUsed/>
    <w:qFormat/>
    <w:pPr>
      <w:ind w:left="1214"/>
    </w:pPr>
    <w:rPr>
      <w:b w:val="0"/>
      <w:sz w:val="20"/>
    </w:rPr>
  </w:style>
  <w:style w:styleId="TOC7" w:type="paragraph">
    <w:name w:val="toc 7"/>
    <w:basedOn w:val="TOC1"/>
    <w:next w:val="Normal"/>
    <w:uiPriority w:val="39"/>
    <w:unhideWhenUsed/>
    <w:qFormat/>
    <w:pPr>
      <w:ind w:left="1458"/>
    </w:pPr>
    <w:rPr>
      <w:b w:val="0"/>
      <w:sz w:val="20"/>
    </w:rPr>
  </w:style>
  <w:style w:styleId="TOC8" w:type="paragraph">
    <w:name w:val="toc 8"/>
    <w:basedOn w:val="TOC1"/>
    <w:next w:val="Normal"/>
    <w:uiPriority w:val="39"/>
    <w:unhideWhenUsed/>
    <w:qFormat/>
    <w:pPr>
      <w:ind w:left="1702"/>
    </w:pPr>
    <w:rPr>
      <w:b w:val="0"/>
      <w:sz w:val="20"/>
    </w:rPr>
  </w:style>
  <w:style w:styleId="TOC9" w:type="paragraph">
    <w:name w:val="toc 9"/>
    <w:basedOn w:val="TOC1"/>
    <w:next w:val="Normal"/>
    <w:uiPriority w:val="39"/>
    <w:unhideWhenUsed/>
    <w:qFormat/>
    <w:pPr>
      <w:ind w:left="1946"/>
    </w:pPr>
    <w:rPr>
      <w:b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
  <dc:language>fr</dc:language>
  <cp:keywords/>
  <dcterms:created xsi:type="dcterms:W3CDTF">2026-09-17T10:13:11Z</dcterms:created>
  <dcterms:modified xsi:type="dcterms:W3CDTF">2026-09-17T10:13:11Z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appearance">
    <vt:lpwstr>simple</vt:lpwstr>
  </property>
  <property fmtid="{D5CDD505-2E9C-101B-9397-08002B2CF9AE}" pid="4" name="colorlinks">
    <vt:lpwstr>True</vt:lpwstr>
  </property>
  <property fmtid="{D5CDD505-2E9C-101B-9397-08002B2CF9AE}" pid="5" name="crossref">
    <vt:lpwstr/>
  </property>
  <property fmtid="{D5CDD505-2E9C-101B-9397-08002B2CF9AE}" pid="6" name="date">
    <vt:lpwstr>2026-09-17</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number-depth">
    <vt:lpwstr>4</vt:lpwstr>
  </property>
  <property fmtid="{D5CDD505-2E9C-101B-9397-08002B2CF9AE}" pid="15" name="revealjs-plugins">
    <vt:lpwstr/>
  </property>
  <property fmtid="{D5CDD505-2E9C-101B-9397-08002B2CF9AE}" pid="16" name="subtitle">
    <vt:lpwstr>Rapport d’analyse statistique</vt:lpwstr>
  </property>
  <property fmtid="{D5CDD505-2E9C-101B-9397-08002B2CF9AE}" pid="17" name="tbl-cap-location">
    <vt:lpwstr>top</vt:lpwstr>
  </property>
  <property fmtid="{D5CDD505-2E9C-101B-9397-08002B2CF9AE}" pid="18" name="toc-title">
    <vt:lpwstr>Table des matières</vt:lpwstr>
  </property>
</Properties>
</file>