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Résécabilité,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Résécable d'emblée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62 (63,3)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Borderline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Localement avancé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(17,3)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(35,4)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Durée d'hospitalisation, jours,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16,5 (12,0—21,0)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Pas de complication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 (61,2)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(56,9)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(66,0)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III-IV-V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 (14,3)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68 (71,6)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(70,6)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32 (72,7)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(28,4)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Type de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Aucune,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(50,9)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(28,2)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Métastatique,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39 (37,9)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(37,7)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Stade 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T1-T2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85 (85,0)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44 (89,8)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T3-T4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(15,0)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Stade 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(29,0)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(25,5)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49 (49,0)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 (54,9)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22 (22,0)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(19,6)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(24,5)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 ;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les critères du National Comprehensive Cancer Network (NCCN).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la classification de Clavien-Dindo.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Une récidive à la fois locale et métastatique est comptée dans les deux catégories.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2026-09-17T12:12:50Z</dcterms:modified>
  <cp:category/>
</cp:coreProperties>
</file>