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1. Caractéristiques des patients à l'inclusion,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(24,3)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(20,0)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(35,0)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(48,0)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(16,5)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(18,9)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Sexe,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Femme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(45,6)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Homme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(62,3)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65,3 (57,9—70,8)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66,1 (59,5—71,9)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63,5 (55,8—67,9)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33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(28,3)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 (36,0)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60-69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≥70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(27,2)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(22,0)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PS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9/4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(81,8)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(52,2)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(30,0)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(15,9)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(43,5)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Douleur au diagnostic,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40 (40,8)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diagnostic, UI/L,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82,0 (20,0—147,0)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79,0 (25,0—110,0)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90,0 (19,0—331,0)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CA 19-9 au diagnostic &gt;= 500 UI/L,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23/23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(12,3)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Localisation tumorale,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Tête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79 (76,7)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38 (71,7)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Corps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(12,6)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Queue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11 (10,7)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 (13,2)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T1-T2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85 (85,0)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(89,8)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T3-T4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(15,0)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Stade 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(25,5)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 (49,0)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 (54,9)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(22,0)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(19,6)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(24,5)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2. Caractéristiques tumorales, prise en charge chirurgicale et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3. Nombre de cures reçues,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d'induction,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(5,0—9,0)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Chimiothérapie adjuvante,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94 (91,3)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(94,3)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44 (88,0)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(5,0—12,0)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6,0 (4,0—6,0)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(10,0—12,0)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12,0 (11,0—13,0)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Nombre total de cures &gt;= 12,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 (63,1)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(58,5)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(68,0)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avec dose relative moyenne &gt;= 80 %,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(5,8)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(7,5)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(4,0)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Nombre de patients ayant reçu au moins une cure.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Sans réduction de dose de plus de 20 % à la dernière cure de chaque phase, sur aucune des trois molécules.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4. Doses reçues et adaptations de doses,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5. Toxicité chimio-induite de grade III-IV,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Toxicité de grade III-IV,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(32,7)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(40,0)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Nausées/vomissement,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(13,3)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(10,4)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Neurotoxicité,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Diarrhée,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 (10,2)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Asthénie,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Neutropénie,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(5,1)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Cytolyse/cholestase, n (%)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1/2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(1,0)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0,49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Common Terminology Criteria for Adverse Events (CTCAE) v5.0.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DM : données manquantes par groupe.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6. Facteurs associés au nombre total de cures reçues.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aRM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0,004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[1,06 ; 1,38]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[1,05 ; 1,41]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[1,02 ; 1,51]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1,24 [1,01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1,20 [1,00 ; 1,44]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[0,91 ; 1,35]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1,21 [0,97 ; 1,50]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1,35 [1,06 ; 1,72]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0,96 [0,92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0,95 [0,91 ; 0,99]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0,89 [0,76 ; 1,04]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0,94 [0,79 ; 1,12]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0,70 [0,55 ; 0,87]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0,73 [0,58 ; 0,91]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quasi-Poisson multivariable portant sur 91 observations complètes (12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nombre total de cures de chimiothérapie reçues, toutes phases confondues, modélisé en comptage. RM : rapport du nombre moyen de cures ; aRM : rapport du nombre moyen de cures ajusté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7. Évènements.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8. Estimations de la survie globale,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9. Facteurs associés à la survie globale.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0,95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0,98 [0,55 ; 1,76]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0,77 [0,40 ; 1,47]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0,88 [0,41 ; 1,91]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[0,54 ; 2,21]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0,35 [0,08 ; 1,53]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[0,93 ; 1,31]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42/95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1,11 [0,93 ; 1,33]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28/68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1,29 [0,68 ; 2,45]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1,22 [0,62 ; 2,39]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43/98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4,88 [2,45 ; 9,71]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42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le décès toutes causes. Les patients sans évènement sont censurés à la date de point du centre. Un hazard ratio &gt; 1 est en faveur d'un risque plus élevé de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10. Estimations de la survie sans récidive, globalement et selon le protocole de chimiothérapie.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p>
      <w:pPr/>
      <w:r>
        <w:br w:type="pag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 11. Facteurs associés à la survie sans récidive.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univariable</w:t>
            </w:r>
          </w:p>
        </w:tc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Analyse multivariable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n/N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aHR [IC95%]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0,070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30/51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34/50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1,58 [0,96 ; 2,59]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29/44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[0,82 ; 2,36]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Centre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Nantes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CHD La Roche-sur-Yon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15/25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0,78 [0,39 ; 1,56]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Angers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26/36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1,39 [0,76 ; 2,55]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CHU Lyon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0,53 [0,20 ; 1,42]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Âge au diagnostic, années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64/103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[0,89 ; 1,19]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59/95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1,05 [0,90 ; 1,22]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41/68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Référence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1,10 [0,63 ; 1,92]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18/27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1,03 [0,57 ; 1,85]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 majeure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60/98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3,05 [1,64 ; 5,69]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0,002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Modèle de régression de Cox multivariable stratifié sur le centre, incluant 59 évènements pour 95 observations complètes (8 observations supprimées pour cause de données manquantes).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Incrémentation par tranches de 5 ans.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Définie par un grade supérieur ou égal à III selon la classification de Clavien-Dindo.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Un hazard ratio &gt; 1 est en faveur d'un risque plus élevé de récidive ou décès toutes causes comparé au groupe de référence. HR : hazard ratio ; aHR : hazard ratio ajusté ; n/N : nombre d'évènements/nombre total d'observations ; IC95% : intervalle de confiance à 95%.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2026-09-11T12:58:47Z</dcterms:modified>
  <cp:category/>
</cp:coreProperties>
</file>