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HR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aHR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0,95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25/53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25/51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21/50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0,98 [0,55 ; 1,76]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17/44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0,77 [0,40 ; 1,47]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14/25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0,88 [0,41 ; 1,91]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18/36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1,10 [0,54 ; 2,21]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0,35 [0,08 ; 1,53]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Âge au diagnostic, années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46/103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1,10 [0,93 ; 1,31]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42/95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1,11 [0,93 ; 1,33]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28/68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28/68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14/27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1,29 [0,68 ; 2,45]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14/27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1,22 [0,62 ; 2,39]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Complication post-opératoire majeure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43/98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4,88 [2,45 ; 9,71]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&lt;0,001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Modèle de régression de Cox multivariable stratifié sur le centre, incluant 42 évènements pour 95 observations complètes (8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3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Définie par un grade supérieur ou égal à III selon la classification de Clavien-Dindo.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Le critère de jugement est le délai entre la chirurgie et le décès toutes causes. Les patients sans évènement sont censurés à la date de point du centre. Un hazard ratio &gt; 1 est en faveur d'un risque plus élevé de décès toutes causes comparé au groupe de référence. HR : hazard ratio ; aHR : hazard ratio ajusté ; n/N : nombre d'évènements/nombre total d'observations ; IC95% : intervalle de confiance à 95%.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xmlns:w="http://schemas.openxmlformats.org/wordprocessingml/2006/main" xmlns:r="http://schemas.openxmlformats.org/officeDocument/2006/relationships" w:name="Luciole">
    <w:altName w:val="Aptos, Calibri"/>
    <w:embedRegular xmlns:w="http://schemas.openxmlformats.org/wordprocessingml/2006/main" xmlns:r="http://schemas.openxmlformats.org/officeDocument/2006/relationships" r:id="rId1" w:fontKey="{A008C50F-0E6D-4726-AB45-8F5C54881D23}"/>
    <w:embedBold xmlns:w="http://schemas.openxmlformats.org/wordprocessingml/2006/main" xmlns:r="http://schemas.openxmlformats.org/officeDocument/2006/relationships" r:id="rId2" w:fontKey="{97BCA40C-8D3E-46CC-BC70-8227A4C2951D}"/>
    <w:embedItalic xmlns:w="http://schemas.openxmlformats.org/wordprocessingml/2006/main" xmlns:r="http://schemas.openxmlformats.org/officeDocument/2006/relationships" r:id="rId3" w:fontKey="{45E30B74-943A-4E3A-BDCC-116B8CEE2312}"/>
    <w:embedBoldItalic xmlns:w="http://schemas.openxmlformats.org/wordprocessingml/2006/main" xmlns:r="http://schemas.openxmlformats.org/officeDocument/2006/relationships" r:id="rId4" w:fontKey="{92230427-B83A-4C5D-A743-BD646A0D369D}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  <w:embedTrueTypeFonts xmlns:w="http://schemas.openxmlformats.org/wordprocessingml/2006/mai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_rels/fontTable.xml.rels><?xml version="1.0" encoding="UTF-8" standalone="yes"?>
<Relationships xmlns="http://schemas.openxmlformats.org/package/2006/relationships">
  <Relationship xmlns="http://schemas.openxmlformats.org/package/2006/relationships" Id="rId1" Type="http://schemas.openxmlformats.org/officeDocument/2006/relationships/font" Target="fonts/font1.odttf"/>
  <Relationship xmlns="http://schemas.openxmlformats.org/package/2006/relationships" Id="rId2" Type="http://schemas.openxmlformats.org/officeDocument/2006/relationships/font" Target="fonts/font2.odttf"/>
  <Relationship xmlns="http://schemas.openxmlformats.org/package/2006/relationships" Id="rId3" Type="http://schemas.openxmlformats.org/officeDocument/2006/relationships/font" Target="fonts/font3.odttf"/>
  <Relationship xmlns="http://schemas.openxmlformats.org/package/2006/relationships" Id="rId4" Type="http://schemas.openxmlformats.org/officeDocument/2006/relationships/font" Target="fonts/font4.odttf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2026-09-11T12:58:31Z</dcterms:modified>
  <cp:category/>
</cp:coreProperties>
</file>