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d'induction,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adjuvante,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avec dose relative moyenne &gt;= 80 %,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D8E45E62-6F6E-499E-8DEE-81318E0ADECF}"/>
    <w:embedBold xmlns:w="http://schemas.openxmlformats.org/wordprocessingml/2006/main" xmlns:r="http://schemas.openxmlformats.org/officeDocument/2006/relationships" r:id="rId2" w:fontKey="{F03BCD7D-E9E7-4DBE-A56B-7B38AE273F8D}"/>
    <w:embedItalic xmlns:w="http://schemas.openxmlformats.org/wordprocessingml/2006/main" xmlns:r="http://schemas.openxmlformats.org/officeDocument/2006/relationships" r:id="rId3" w:fontKey="{0F87A68F-710D-459D-8C53-00A8432D5E75}"/>
    <w:embedBoldItalic xmlns:w="http://schemas.openxmlformats.org/wordprocessingml/2006/main" xmlns:r="http://schemas.openxmlformats.org/officeDocument/2006/relationships" r:id="rId4" w:fontKey="{F7C9C420-47B2-47D9-B39B-3C4D0415819A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2026-09-11T12:58:34Z</dcterms:modified>
  <cp:category/>
</cp:coreProperties>
</file>