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Résécabilité,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Métastatique,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Une récidive à la fois locale et métastatique est comptée dans les deux catégories.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BCA12506-8A5D-4313-9A0A-85CABBDF75A2}"/>
    <w:embedBold xmlns:w="http://schemas.openxmlformats.org/wordprocessingml/2006/main" xmlns:r="http://schemas.openxmlformats.org/officeDocument/2006/relationships" r:id="rId2" w:fontKey="{F35C0B7E-BF78-4AB3-9CE1-889E0E1BE054}"/>
    <w:embedItalic xmlns:w="http://schemas.openxmlformats.org/wordprocessingml/2006/main" xmlns:r="http://schemas.openxmlformats.org/officeDocument/2006/relationships" r:id="rId3" w:fontKey="{46C871FE-10AF-4887-9A46-46BCE3DDFFC2}"/>
    <w:embedBoldItalic xmlns:w="http://schemas.openxmlformats.org/wordprocessingml/2006/main" xmlns:r="http://schemas.openxmlformats.org/officeDocument/2006/relationships" r:id="rId4" w:fontKey="{B0A8BBC4-695B-4DA8-9544-C632D555945C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2026-09-11T12:58:44Z</dcterms:modified>
  <cp:category/>
</cp:coreProperties>
</file>