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analyse-descriptive"/>
    <w:p>
      <w:pPr>
        <w:pStyle w:val="Heading1"/>
      </w:pPr>
      <w:r>
        <w:t xml:space="preserve">Analyse descriptive</w:t>
      </w:r>
    </w:p>
    <w:bookmarkStart w:id="10" w:name="Xcc08d3b94eafb484e5945b2c6104aa7d7edd55d"/>
    <w:p>
      <w:pPr>
        <w:pStyle w:val="Heading2"/>
      </w:pPr>
      <w:r>
        <w:t xml:space="preserve">Caractéristiques des patients at baseline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basel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Caractéristiques des patients at baseline,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5125"/>
              <w:gridCol w:w="1115"/>
              <w:gridCol w:w="2704"/>
              <w:gridCol w:w="4519"/>
              <w:gridCol w:w="4707"/>
            </w:tblGrid>
            <w:tr>
              <w:trPr>
                <w:trHeight w:val="638" w:hRule="auto"/>
                <w:tblHeader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Total&lt;br&gt;(N=103)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seul&lt;br&gt;(n=53, 51,5%)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Péri-opératoire&lt;br&gt;(n=50, 48,5%)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Centre,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Nantes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(24,3)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 (30,2)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(18,0)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CHD Vendée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(24,3)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(28,3)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(20,0)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Angers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 (35,0)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(22,6)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 (48,0)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Lyon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 (16,5)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(18,9)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Sexe,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Femme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47 (45,6)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20 (37,7)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 (54,0)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Homme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56 (54,4)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33 (62,3)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 (46,0)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65,3 (57,9—70,8)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66,1 (59,5—71,9)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63,5 (55,8—67,9)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33 (32,0)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(28,3)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 (36,0)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60-69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42 (40,8)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(39,6)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≥70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 (27,2)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 (32,1)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(22,0)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PS au diagnostic,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 9/4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60 (66,7)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 (81,8)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 (52,2)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 (30,0)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(15,9)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20 (43,5)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(3,3)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(4,3)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Douleur au diagnostic,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 2/3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40 (40,8)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 (37,3)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(44,7)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CA 19-9 au diagnostic, UI/L,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 23/23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82,0 (20,0—147,0)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79,0 (25,0—110,0)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90,0 (19,0—331,0)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Localisation tumorale,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Tête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79 (76,7)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38 (71,7)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 (82,0)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Corps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(12,6)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(15,1)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Queue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(10,7)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Stade T,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 2/1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T1-T2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85 (85,0)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 (80,4)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44 (89,8)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T3-T4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(15,0)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(19,6)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(10,2)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Stade N,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 2/1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29 (29,0)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(25,5)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 (32,7)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49 (49,0)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 (54,9)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(42,9)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22 (22,0)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(19,6)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(24,5)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Stade M,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 0/1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M0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102 (100,0)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53 (100,0)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49 (100,0)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 ; DM : données manquantes par groupe.</w:t>
                  </w:r>
                </w:p>
              </w:tc>
            </w:tr>
          </w:tbl>
          <w:bookmarkEnd w:id="9"/>
        </w:tc>
      </w:tr>
    </w:tbl>
    <w:p>
      <w:r>
        <w:br w:type="page"/>
      </w:r>
    </w:p>
    <w:bookmarkEnd w:id="10"/>
    <w:bookmarkStart w:id="12" w:name="X178ecd3f75058ae310c911b7c19e20799eb7773"/>
    <w:p>
      <w:pPr>
        <w:pStyle w:val="Heading2"/>
      </w:pPr>
      <w:r>
        <w:t xml:space="preserve">Caractéristiques tumorales et prise en charge chirurgicale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tum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Caractéristiques tumorales et prise en charge chirurgicale,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6568"/>
              <w:gridCol w:w="835"/>
              <w:gridCol w:w="2704"/>
              <w:gridCol w:w="4519"/>
              <w:gridCol w:w="4707"/>
            </w:tblGrid>
            <w:tr>
              <w:trPr>
                <w:trHeight w:val="638" w:hRule="auto"/>
                <w:tblHeader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Total&lt;br&gt;(N=103)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seul&lt;br&gt;(n=53, 51,5%)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Péri-opératoire&lt;br&gt;(n=50, 48,5%)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Délai entre diagnostic et chirurgie, mois,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3,3 (1,5—5,7)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1,5 (1,1—2,1)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5,2 (4,2—7,1)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Résécabilité,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 3/2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Résécable d'emblée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62 (63,3)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 (100,0)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(25,0)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Borderline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 (19,4)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 (39,6)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Localement avancé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 (17,3)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 (35,4)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Durée d'hospitalisation, jours,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 3/2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16,0 (12,0—23,0)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16,5 (12,0—21,0)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15,0 (12,0—23,0)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Complication post-opératoire,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 2/3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60 (61,2)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29 (56,9)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31 (66,0)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(12,2)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(11,8)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(12,8)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(12,2)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(15,7)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(8,5)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III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(11,2)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(8,5)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IV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(2,1)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(1,0)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(2,1)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Complication post-opératoire majeure,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 2/3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 (14,3)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(15,7)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(12,8)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Résection chirurgicale,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 2/6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68 (71,6)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 (70,6)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32 (72,7)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 (28,4)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(29,4)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(27,3)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Type de récidive,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Aucune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 (44,7)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 (50,9)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 (38,0)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 (17,5)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(11,3)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Métastatique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 (27,2)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(24,5)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(30,0)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 et métastatique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(10,7)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de sites métastatiques,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 (68,3)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(61,9)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(75,0)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&gt;=2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(31,7)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(38,1)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(25,0)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Site métastatique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hépatique,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 (22,3)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 (26,4)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(18,0)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péritonéale,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(12,6)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ganglionnaire,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(9,7)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pulmonaire,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(9,7)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(5,7)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cérébrale,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(1,0)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autre, n (%)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(1,0)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(1,9)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Selon les critères du National Comprehensive Cancer Network (NCCN).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Selon la classification de Clavien-Dindo.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Parmi les patients ayant récidivé au niveau métastatique ou local + métastatique.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 ; DM : données manquantes par groupe.</w:t>
                  </w:r>
                </w:p>
              </w:tc>
            </w:tr>
          </w:tbl>
          <w:bookmarkEnd w:id="11"/>
        </w:tc>
      </w:tr>
    </w:tbl>
    <w:p>
      <w:r>
        <w:br w:type="page"/>
      </w:r>
    </w:p>
    <w:bookmarkEnd w:id="12"/>
    <w:bookmarkStart w:id="14" w:name="critère-de-jugement-principal"/>
    <w:p>
      <w:pPr>
        <w:pStyle w:val="Heading2"/>
      </w:pPr>
      <w:r>
        <w:t xml:space="preserve">Critère de jugement principal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cj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Nombre de cures reçues,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5092"/>
              <w:gridCol w:w="2704"/>
              <w:gridCol w:w="4519"/>
              <w:gridCol w:w="4707"/>
            </w:tblGrid>
            <w:tr>
              <w:trPr>
                <w:trHeight w:val="638" w:hRule="auto"/>
                <w:tblHeader/>
              </w:trPr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Total&lt;br&gt;(N=103)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seul&lt;br&gt;(n=53, 51,5%)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Péri-opératoire&lt;br&gt;(n=50, 48,5%)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Chimiothérapie d'induction,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–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–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 (100,0)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de cures,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–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–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6,0 (5,0—9,0)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Chimiothérapie adjuvante,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94 (91,3)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 (94,3)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44 (88,0)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de cures,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6,0 (5,0—12,0)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12,0 (10,0—12,0)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6,0 (4,0—6,0)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total de cures &lt; 12,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38 (36,9)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22 (41,5)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 (32,0)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ou dose relative moyenne &lt; 80%, n (%)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97 (94,2)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49 (92,5)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48 (96,0)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Nombre de patients ayant reçu au moins une cure.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interquartile.</w:t>
                  </w:r>
                </w:p>
              </w:tc>
            </w:tr>
          </w:tbl>
          <w:bookmarkEnd w:id="13"/>
        </w:tc>
      </w:tr>
    </w:tbl>
    <w:p>
      <w:r>
        <w:br w:type="page"/>
      </w:r>
    </w:p>
    <w:bookmarkEnd w:id="14"/>
    <w:bookmarkStart w:id="19" w:name="caractéristiques-du-traitement"/>
    <w:p>
      <w:pPr>
        <w:pStyle w:val="Heading2"/>
      </w:pPr>
      <w:r>
        <w:t xml:space="preserve">Caractéristiques du traitement</w:t>
      </w:r>
    </w:p>
    <w:bookmarkStart w:id="16" w:name="phase-dinduction"/>
    <w:p>
      <w:pPr>
        <w:pStyle w:val="Heading3"/>
      </w:pPr>
      <w:r>
        <w:t xml:space="preserve">Phase d’induction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ttt-ind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Doses reçues et adaptations de doses à la phase d’induction,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4077"/>
              <w:gridCol w:w="812"/>
            </w:tblGrid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Dernière dose reçue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5-FU,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Irinotécan,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Oxaliplatine,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doses,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Pourcentage d'adaptation,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Pas d'adaptation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C4,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 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C8,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 33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C12,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 46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2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 ; DM : données manquantes par groupe.</w:t>
                  </w:r>
                </w:p>
              </w:tc>
            </w:tr>
          </w:tbl>
          <w:bookmarkEnd w:id="15"/>
        </w:tc>
      </w:tr>
    </w:tbl>
    <w:p>
      <w:r>
        <w:br w:type="page"/>
      </w:r>
    </w:p>
    <w:bookmarkEnd w:id="16"/>
    <w:bookmarkStart w:id="18" w:name="phase-adjuvante"/>
    <w:p>
      <w:pPr>
        <w:pStyle w:val="Heading3"/>
      </w:pPr>
      <w:r>
        <w:t xml:space="preserve">Phase adjuvante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ttt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Doses reçues et adaptations de doses à la phase adjuvante,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4077"/>
              <w:gridCol w:w="1115"/>
              <w:gridCol w:w="2551"/>
              <w:gridCol w:w="4519"/>
              <w:gridCol w:w="4707"/>
            </w:tblGrid>
            <w:tr>
              <w:trPr>
                <w:trHeight w:val="638" w:hRule="auto"/>
                <w:tblHeader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Total&lt;br&gt;(N=94)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seul&lt;br&gt;(n=50, 53,2%)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Péri-opératoire&lt;br&gt;(n=44, 46,8%)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Dernière dose reçue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5-FU,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 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80,0 (75,0—100,0)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80,0 (75,0—100,0)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80,0 (75,0—100,0)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Irinotécan,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 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70,0 (50,0—80,0)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70,0 (50,0—80,0)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70,0 (50,0—75,0)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Oxaliplatine,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 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25,0 (0,0—70,0)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0,0 (0,0—75,0)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50,0 (0,0—70,0)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doses,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 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88 (95,7)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47 (94,0)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 (97,6)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Pourcentage d'adaptation,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 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Pas d'adaptation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(6,0)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(2,4)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(8,7)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(4,8)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 (87,0)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 (82,0)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39 (92,9)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C4,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 3/8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(4,8)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33 (39,8)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22 (46,8)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(30,6)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 (55,4)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(44,7)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(69,4)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C8,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 9/39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(13,0)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(12,2)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38 (82,6)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34 (82,9)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C12,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 19/44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 (77,4)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 (77,4)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 ; DM : données manquantes par groupe.</w:t>
                  </w:r>
                </w:p>
              </w:tc>
            </w:tr>
          </w:tbl>
          <w:bookmarkEnd w:id="17"/>
        </w:tc>
      </w:tr>
    </w:tbl>
    <w:p>
      <w:r>
        <w:br w:type="page"/>
      </w:r>
    </w:p>
    <w:bookmarkEnd w:id="18"/>
    <w:bookmarkEnd w:id="19"/>
    <w:bookmarkStart w:id="24" w:name="toxicité-chimio-induite"/>
    <w:p>
      <w:pPr>
        <w:pStyle w:val="Heading2"/>
      </w:pPr>
      <w:r>
        <w:t xml:space="preserve">Toxicité chimio-induite</w:t>
      </w:r>
    </w:p>
    <w:bookmarkStart w:id="21" w:name="phase-dinduction-1"/>
    <w:p>
      <w:pPr>
        <w:pStyle w:val="Heading3"/>
      </w:pPr>
      <w:r>
        <w:t xml:space="preserve">Phase d’induction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ox-ind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Toxicité chimio-induite de grade III-IV à la phase d’induction,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3619"/>
              <w:gridCol w:w="3922"/>
            </w:tblGrid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Péri-opératoire&lt;br&gt;(n=50)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Toxicité de grade III-IV,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(20,0)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Vomissement,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Neurotoxicité,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Asthénie,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Diarrhée,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Neutropénie,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Cytolyse/cholestase, n (%)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2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Selon la classification CTCAE.</w:t>
                  </w:r>
                </w:p>
              </w:tc>
            </w:tr>
          </w:tbl>
          <w:bookmarkEnd w:id="20"/>
        </w:tc>
      </w:tr>
    </w:tbl>
    <w:p>
      <w:r>
        <w:br w:type="page"/>
      </w:r>
    </w:p>
    <w:bookmarkEnd w:id="21"/>
    <w:bookmarkStart w:id="23" w:name="phase-adjuvante-1"/>
    <w:p>
      <w:pPr>
        <w:pStyle w:val="Heading3"/>
      </w:pPr>
      <w:r>
        <w:t xml:space="preserve">Phase adjuvante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tox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Toxicité chimio-induite de grade III-IV à la phase adjuvante,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3900"/>
              <w:gridCol w:w="835"/>
              <w:gridCol w:w="2551"/>
              <w:gridCol w:w="4519"/>
              <w:gridCol w:w="4707"/>
            </w:tblGrid>
            <w:tr>
              <w:trPr>
                <w:trHeight w:val="638" w:hRule="auto"/>
                <w:tblHeader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Total&lt;br&gt;(N=94)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seul&lt;br&gt;(n=50, 53,2%)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Péri-opératoire&lt;br&gt;(n=44, 46,8%)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Toxicité de grade III-IV,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 0/2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 (25,0)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20 (40,0)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(7,1)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Diarrhée,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 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(9,8)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(18,0)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Neurotoxicité,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 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(9,8)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(7,1)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Nausées/vomissement,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 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(8,7)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(16,0)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Asthénie,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 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Neutropénie,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 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Cytolyse/cholestase, n (%)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 1/2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Selon la classification CTCAE.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DM : données manquantes par groupe.</w:t>
                  </w:r>
                </w:p>
              </w:tc>
            </w:tr>
          </w:tbl>
          <w:bookmarkEnd w:id="22"/>
        </w:tc>
      </w:tr>
    </w:tbl>
    <w:p>
      <w:r>
        <w:br w:type="page"/>
      </w:r>
    </w:p>
    <w:bookmarkEnd w:id="23"/>
    <w:bookmarkEnd w:id="24"/>
    <w:bookmarkEnd w:id="25"/>
    <w:bookmarkStart w:id="30" w:name="analyse-de-survie"/>
    <w:p>
      <w:pPr>
        <w:pStyle w:val="Heading1"/>
      </w:pPr>
      <w:r>
        <w:t xml:space="preserve">Analyse de survie</w:t>
      </w:r>
    </w:p>
    <w:bookmarkStart w:id="27" w:name="évènements"/>
    <w:p>
      <w:pPr>
        <w:pStyle w:val="Heading2"/>
      </w:pPr>
      <w:r>
        <w:t xml:space="preserve">Évènements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eve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Évènements.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3412"/>
              <w:gridCol w:w="2704"/>
              <w:gridCol w:w="4519"/>
              <w:gridCol w:w="4707"/>
            </w:tblGrid>
            <w:tr>
              <w:trPr>
                <w:trHeight w:val="638" w:hRule="auto"/>
                <w:tblHeader/>
              </w:trPr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Total&lt;br&gt;(N=103)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seul&lt;br&gt;(n=53, 51,5%)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Péri-opératoire&lt;br&gt;(n=50, 48,5%)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Décès toutes causes,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 (44,7)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(47,2)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Premier évènement,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56 (54,4)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(47,2)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31 (62,0)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Décès sans récidive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(7,8)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(6,0)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Censure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39 (37,9)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 (43,4)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 (32,0)</w:t>
                  </w:r>
                </w:p>
              </w:tc>
            </w:tr>
          </w:tbl>
          <w:bookmarkEnd w:id="26"/>
        </w:tc>
      </w:tr>
    </w:tbl>
    <w:p>
      <w:r>
        <w:br w:type="page"/>
      </w:r>
    </w:p>
    <w:bookmarkEnd w:id="27"/>
    <w:bookmarkStart w:id="29" w:name="survie-globale"/>
    <w:p>
      <w:pPr>
        <w:pStyle w:val="Heading2"/>
      </w:pPr>
      <w:r>
        <w:t xml:space="preserve">Survie globale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ur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Estimations Kaplan-Meier de la survie globale,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3510"/>
              <w:gridCol w:w="2476"/>
              <w:gridCol w:w="2336"/>
              <w:gridCol w:w="2336"/>
              <w:gridCol w:w="2336"/>
              <w:gridCol w:w="1441"/>
            </w:tblGrid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4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Probabilité de survie globale, % [IC95%]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Caractéristique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12 months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24 months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36 months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48 months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p-valeur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91,2 [85,9 ; 96,9]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68,9 [60,0 ; 79,1]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52,0 [41,5 ; 65,2]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41,6 [30,3 ; 57,0]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0,4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999999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88,7 [80,5 ; 97,6]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66,1 [53,7 ; 81,3]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46,9 [33,0 ; 66,7]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32,2 [18,4 ; 56,2]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999999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99FF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94,0 [87,6 ; 100,0]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72,0 [60,0 ; 86,4]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57,8 [43,5 ; 76,8]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52,5 [37,4 ; 73,8]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99FF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Log-rank test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IC95% : intervalle de confiance à 95%.</w:t>
                  </w:r>
                </w:p>
              </w:tc>
            </w:tr>
          </w:tbl>
          <w:bookmarkEnd w:id="28"/>
        </w:tc>
      </w:tr>
    </w:tbl>
    <w:p>
      <w:r>
        <w:br w:type="page"/>
      </w:r>
    </w:p>
    <w:bookmarkEnd w:id="29"/>
    <w:bookmarkEnd w:id="30"/>
    <w:bookmarkStart w:id="39" w:name="analyse-multivariable"/>
    <w:p>
      <w:pPr>
        <w:pStyle w:val="Heading1"/>
      </w:pPr>
      <w:r>
        <w:t xml:space="preserve">Analyse multivariable</w:t>
      </w:r>
    </w:p>
    <w:bookmarkStart w:id="32" w:name="régression-logistique"/>
    <w:p>
      <w:pPr>
        <w:pStyle w:val="Heading2"/>
      </w:pPr>
      <w:r>
        <w:t xml:space="preserve">Régression logistique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gl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Facteurs associés à la réalisation d’un schéma incomplet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3510"/>
              <w:gridCol w:w="1185"/>
              <w:gridCol w:w="2336"/>
              <w:gridCol w:w="1040"/>
              <w:gridCol w:w="1045"/>
              <w:gridCol w:w="2336"/>
              <w:gridCol w:w="1040"/>
            </w:tblGrid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univariable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multivariable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OR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aOR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0,32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0,85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22/53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19/44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16/50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0,66 [0,29 ; 1,48]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15/46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0,91 [0,32 ; 2,59]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Centre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0,24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Nantes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13/25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11/20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CHD Vendée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9/25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0,52 [0,16 ; 1,59]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8/22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0,42 [0,11 ; 1,53]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Angers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9/36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0,31 [0,10 ; 0,90]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8/33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0,28 [0,07 ; 1,00]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Lyon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0,65 [0,18 ; 2,23]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7/15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0,66 [0,16 ; 2,72]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38/103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1,38 [1,09 ; 1,78]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34/90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1,33 [1,03 ; 1,77]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0,029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PS au diagnostic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0,73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21/60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21/60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1-2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13/30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1,42 [0,58 ; 3,49]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13/30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1,20 [0,41 ; 3,48]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Résécabilité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0,49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Résécable d'emblée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24/62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Borderline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0,92 [0,31 ; 2,63]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Localement avancé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4/17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0,49 [0,13 ; 1,56]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Modèle de regression logistique multivariable incluant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34 évènements pour 90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observations complètes (13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observations supprimées pour cause de données manquantes).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Incrémentation par tranches de 5 ans.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la réalisation d'un schéma incomplet de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chimiothérapie, défini par un nombre total de cures reçues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strictement inférieur à 12.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OR : odds ratio ; aOR : odds ratio ajusté ; n/N : nombre d'évènements/nombre total d'observations ; IC95% : intervalle de confiance à 95%.</w:t>
                  </w:r>
                </w:p>
              </w:tc>
            </w:tr>
          </w:tbl>
          <w:bookmarkEnd w:id="31"/>
        </w:tc>
      </w:tr>
    </w:tbl>
    <w:p>
      <w:r>
        <w:br w:type="page"/>
      </w:r>
    </w:p>
    <w:bookmarkEnd w:id="32"/>
    <w:bookmarkStart w:id="34" w:name="régression-logistique-pénalisée"/>
    <w:p>
      <w:pPr>
        <w:pStyle w:val="Heading2"/>
      </w:pPr>
      <w:r>
        <w:t xml:space="preserve">Régression logistique pénalisée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pl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Facteurs associés à la réalisation d’un schéma incomplet de chimiothérapie (avec pénalisation de Firth).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3510"/>
              <w:gridCol w:w="831"/>
              <w:gridCol w:w="2336"/>
              <w:gridCol w:w="1040"/>
              <w:gridCol w:w="691"/>
              <w:gridCol w:w="2336"/>
              <w:gridCol w:w="1040"/>
            </w:tblGrid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univariable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multivariable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OR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aOR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0,32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0,86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0,67 [0,30 ; 1,48]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0,91 [0,34 ; 2,48]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Centre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0,26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Nantes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CHD Vendée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0,53 [0,17 ; 1,60]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0,45 [0,12 ; 1,54]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Angers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0,32 [0,11 ; 0,91]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0,30 [0,08 ; 1,03]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Lyon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0,66 [0,19 ; 2,21]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0,68 [0,17 ; 2,62]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1,36 [1,08 ; 1,75]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1,30 [1,01 ; 1,69]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0,037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PS au diagnostic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0,74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1-2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1,42 [0,58 ; 3,44]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1,19 [0,43 ; 3,27]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Résécabilité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Résécable d'emblée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Borderline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0,94 [0,32 ; 2,63]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Localement avancé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0,52 [0,15 ; 1,61]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Modèle de régression logistique multivariable pénalisé par la méthode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de Firth, incluant 34 évènements pour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90 observations complètes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(13 observations supprimées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pour cause de données manquantes). Les intervalles de confiance à 95%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et les p-values sont issus de la vraisemblance profilée pénalisée.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Incrémentation par tranches de 5 ans.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la réalisation d'un schéma incomplet de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chimiothérapie, défini par un nombre total de cures reçues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strictement inférieur à 12.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OR : odds ratio ; aOR : odds ratio ajusté ; IC95% : intervalle de confiance à 95%.</w:t>
                  </w:r>
                </w:p>
              </w:tc>
            </w:tr>
          </w:tbl>
          <w:bookmarkEnd w:id="33"/>
        </w:tc>
      </w:tr>
    </w:tbl>
    <w:p>
      <w:r>
        <w:br w:type="page"/>
      </w:r>
    </w:p>
    <w:bookmarkEnd w:id="34"/>
    <w:bookmarkStart w:id="36" w:name="régression-de-quasi-poisson"/>
    <w:p>
      <w:pPr>
        <w:pStyle w:val="Heading2"/>
      </w:pPr>
      <w:r>
        <w:t xml:space="preserve">Régression de quasi-Poisson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Facteurs associés à une augmentation du nombre total de cures reçues.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3510"/>
              <w:gridCol w:w="831"/>
              <w:gridCol w:w="2336"/>
              <w:gridCol w:w="1040"/>
              <w:gridCol w:w="691"/>
              <w:gridCol w:w="2336"/>
              <w:gridCol w:w="1040"/>
            </w:tblGrid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univariable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multivariable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IRR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aIRR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0,004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0,028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1,21 [1,06 ; 1,38]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1,20 [1,02 ; 1,41]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Centre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0,11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Nantes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CHD Vendée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1,24 [1,02 ; 1,51]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1,30 [1,04 ; 1,63]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Angers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1,20 [1,00 ; 1,44]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1,21 [0,98 ; 1,50]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Lyon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1,21 [0,97 ; 1,50]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1,27 [0,99 ; 1,61]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0,96 [0,92 ; 0,99]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0,97 [0,93 ; 1,01]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0,12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PS au diagnostic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0,82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0,62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1-2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0,98 [0,84 ; 1,15]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0,96 [0,81 ; 1,13]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Résécabilité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Résécable d'emblée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Borderline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1,14 [0,96 ; 1,36]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Localement avancé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1,29 [1,08 ; 1,53]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Modèle de régression de quasi-Poisson multivariable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portant sur 90 observations complètes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(13 observations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supprimées pour cause de données manquantes).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Incrémentation par tranches de 5 ans.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le nombre total de cures reçues,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modélisé en comptage.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IRR : rapport du nombre moyen ; aIRR : rapport du nombre moyen ajusté ; IC95% : intervalle de confiance à 95%.</w:t>
                  </w:r>
                </w:p>
              </w:tc>
            </w:tr>
          </w:tbl>
          <w:bookmarkEnd w:id="35"/>
        </w:tc>
      </w:tr>
    </w:tbl>
    <w:p>
      <w:r>
        <w:br w:type="page"/>
      </w:r>
    </w:p>
    <w:bookmarkEnd w:id="36"/>
    <w:bookmarkStart w:id="38" w:name="estimation-de-la-survie-globale"/>
    <w:p>
      <w:pPr>
        <w:pStyle w:val="Heading2"/>
      </w:pPr>
      <w:r>
        <w:t xml:space="preserve">Estimation de la survie globale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xph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Estimation de la survie globale,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3510"/>
              <w:gridCol w:w="1185"/>
              <w:gridCol w:w="2336"/>
              <w:gridCol w:w="901"/>
              <w:gridCol w:w="1045"/>
              <w:gridCol w:w="2336"/>
              <w:gridCol w:w="1040"/>
            </w:tblGrid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univariable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multivariable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HR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aHR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0,35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0,050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25/53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21/44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21/50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0,76 [0,42 ; 1,37]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19/46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0,44 [0,19 ; 1,02]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Centre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0,58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Nantes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14/25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12/20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CHD Vendée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12/25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0,89 [0,41 ; 1,93]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11/22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0,81 [0,35 ; 1,89]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Angers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18/36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1,09 [0,54 ; 2,19]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15/33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1,08 [0,49 ; 2,38]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Lyon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0,41 [0,09 ; 1,80]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2/15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0,43 [0,09 ; 1,97]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46/103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1,09 [0,92 ; 1,29]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40/90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1,10 [0,91 ; 1,32]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0,32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PS au diagnostic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0,032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23/60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23/60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1-2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17/30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1,55 [0,82 ; 2,95]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17/30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2,45 [1,08 ; 5,59]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Résécabilité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0,71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Résécable d'emblée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28/62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Borderline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0,72 [0,31 ; 1,65]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Localement avancé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8/17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0,85 [0,38 ; 1,88]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60" w:right="6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Modèle de regression de Cox multivariable incluant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40 évènements pour 90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observations complètes (13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observations supprimées pour cause de données manquantes).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Incrémentation par tranches de 5 ans.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la survie globale, définie par le délai entre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diagnostic et le décès toutes causes. Les patients vivants sont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censurés à la date de point du centre.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HR : hazard ratio ; aHR : hazard ratio ajusté ; n/N : nombre d'évènements/nombre total d'observations ; IC95% : intervalle de confiance à 95%.</w:t>
                  </w:r>
                </w:p>
              </w:tc>
            </w:tr>
          </w:tbl>
          <w:bookmarkEnd w:id="37"/>
        </w:tc>
      </w:tr>
    </w:tbl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2026-07-18T11:15:23Z</dcterms:created>
  <dcterms:modified xsi:type="dcterms:W3CDTF">2026-07-18T11:15:23Z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