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emf" ContentType="image/x-emf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test render tables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50" w:name="analyse-descriptive"/>
    <w:p>
      <w:pPr>
        <w:pStyle w:val="Titre1"/>
      </w:pPr>
      <w:r>
        <w:t xml:space="preserve">Analyse descriptive</w:t>
      </w:r>
    </w:p>
    <w:bookmarkStart w:id="35" w:name="Xcc08d3b94eafb484e5945b2c6104aa7d7edd55d"/>
    <w:p>
      <w:pPr>
        <w:pStyle w:val="Titre2"/>
      </w:pPr>
      <w:r>
        <w:t xml:space="preserve">Caractéristiques des patients at baseline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1. Caractéristiques des patients at baseline,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(30,2)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(35,0)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(48,0)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(16,5)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(18,9)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Sexe,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Femme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(45,6)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(37,7)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Homme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(62,3)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65,3 (57,9—70,8)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66,1 (59,5—71,9)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63,5 (55,8—67,9)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(36,0)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60-69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(39,6)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≥70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(32,1)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(22,0)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(81,8)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(52,2)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(30,0)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(15,9)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(43,5)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Douleur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diagnostic, UI/L,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82,0 (20,0—147,0)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79,0 (25,0—110,0)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90,0 (19,0—331,0)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 &gt;= 500 UI/L,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Localisation tumorale,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Tête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 (76,7)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Corps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Queue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T1-T2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85 (85,0)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(80,4)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(89,8)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T3-T4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(15,0)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(29,0)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(25,5)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(49,0)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(54,9)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(22,0)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M,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102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(100,0)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4"/>
        </w:tc>
      </w:tr>
    </w:tbl>
    <w:p>
      <w:r>
        <w:br w:type="page"/>
      </w:r>
    </w:p>
    <w:bookmarkEnd w:id="35"/>
    <w:bookmarkStart w:id="37" w:name="X178ecd3f75058ae310c911b7c19e20799eb7773"/>
    <w:p>
      <w:pPr>
        <w:pStyle w:val="Titre2"/>
      </w:pPr>
      <w:r>
        <w:t xml:space="preserve">Caractéristiques tumorales et prise en charge chirurgicale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um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 Caractéristiques tumorales et prise en charge chirurgicale,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Délai entre diagnostic et chirurgie, mois,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3,3 (1,5—5,7)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 (1,1—2,1)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5,2 (4,2—7,1)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 (63,3)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(39,6)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(35,4)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Durée d'hospitalisation, jours,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16,0 (12,0—23,0)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16,5 (12,0—21,0)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15,0 (12,0—23,0)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(56,9)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III-IV-V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(14,3)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 (71,6)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(70,6)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32 (72,7)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(28,4)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(27,3)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Type de récidive,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Aucune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(50,9)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(17,5)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(24,5)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(30,0)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 et 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sites métastatiques,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(68,3)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(61,9)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&gt;=2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(31,7)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(38,1)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Site métastatique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hépatique,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(26,4)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péritonéale,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ganglionnaire,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pulmonaire,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cérébrale,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autre,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les critères du National Comprehensive Cancer Network (NCCN).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Parmi les patients ayant récidivé au niveau métastatique ou local + métastatique.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6"/>
        </w:tc>
      </w:tr>
    </w:tbl>
    <w:p>
      <w:r>
        <w:br w:type="page"/>
      </w:r>
    </w:p>
    <w:bookmarkEnd w:id="37"/>
    <w:bookmarkStart w:id="39" w:name="critère-de-jugement-principal"/>
    <w:p>
      <w:pPr>
        <w:pStyle w:val="Titre2"/>
      </w:pPr>
      <w:r>
        <w:t xml:space="preserve">Critère de jugement principal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j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3. Nombre de cures reçues,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d'induction,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(5,0—9,0)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adjuvante,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94 (91,3)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(94,3)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(4,0—6,0)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 &lt; 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(36,9)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(41,5)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ou dose relative moyenne &lt; 80%,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97 (94,2)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(92,5)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48 (96,0)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Nombre de patients ayant reçu au moins une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interquartile.</w:t>
                  </w:r>
                </w:p>
              </w:tc>
            </w:tr>
          </w:tbl>
          <w:bookmarkEnd w:id="38"/>
        </w:tc>
      </w:tr>
    </w:tbl>
    <w:p>
      <w:r>
        <w:br w:type="page"/>
      </w:r>
    </w:p>
    <w:bookmarkEnd w:id="39"/>
    <w:bookmarkStart w:id="44" w:name="caractéristiques-du-traitement"/>
    <w:p>
      <w:pPr>
        <w:pStyle w:val="Titre2"/>
      </w:pPr>
      <w:r>
        <w:t xml:space="preserve">Caractéristiques du traitement</w:t>
      </w:r>
    </w:p>
    <w:bookmarkStart w:id="41" w:name="phase-dinduction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ttt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4. Doses reçues et adaptations de doses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136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100,0 (80,0—100,0)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(60,0—90,0)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(50,0—100,0)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 (86,0)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(28,6)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(51,0)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(5,9)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(41,2)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(52,9)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0"/>
        </w:tc>
      </w:tr>
    </w:tbl>
    <w:p>
      <w:r>
        <w:br w:type="page"/>
      </w:r>
    </w:p>
    <w:bookmarkEnd w:id="41"/>
    <w:bookmarkStart w:id="43" w:name="phase-adjuvante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ttt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5. Doses reçues et adaptations de doses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25,0 (0,0—70,0)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0,0 (0,0—75,0)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50,0 (0,0—70,0)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88 (95,7)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(94,0)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(97,6)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 (87,0)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(92,9)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(46,8)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(30,6)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(55,4)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(69,4)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(82,6)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(82,9)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2"/>
        </w:tc>
      </w:tr>
    </w:tbl>
    <w:p>
      <w:r>
        <w:br w:type="page"/>
      </w:r>
    </w:p>
    <w:bookmarkEnd w:id="43"/>
    <w:bookmarkEnd w:id="44"/>
    <w:bookmarkStart w:id="49" w:name="toxicité-chimio-induite"/>
    <w:p>
      <w:pPr>
        <w:pStyle w:val="Titre2"/>
      </w:pPr>
      <w:r>
        <w:t xml:space="preserve">Toxicité chimio-induite</w:t>
      </w:r>
    </w:p>
    <w:bookmarkStart w:id="46" w:name="phase-dinduction-1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tox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6. Toxicité chimio-induite de grade III-IV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3723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2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</w:tbl>
          <w:bookmarkEnd w:id="45"/>
        </w:tc>
      </w:tr>
    </w:tbl>
    <w:p>
      <w:r>
        <w:br w:type="page"/>
      </w:r>
    </w:p>
    <w:bookmarkEnd w:id="46"/>
    <w:bookmarkStart w:id="48" w:name="phase-adjuvante-1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tox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7. Toxicité chimio-induite de grade III-IV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964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(25,0)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(40,0)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Nausées/vomissement,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1/2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 v5.0.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DM : données manquantes par groupe.</w:t>
                  </w:r>
                </w:p>
              </w:tc>
            </w:tr>
          </w:tbl>
          <w:bookmarkEnd w:id="47"/>
        </w:tc>
      </w:tr>
    </w:tbl>
    <w:p>
      <w:r>
        <w:br w:type="page"/>
      </w:r>
    </w:p>
    <w:bookmarkEnd w:id="48"/>
    <w:bookmarkEnd w:id="49"/>
    <w:bookmarkEnd w:id="50"/>
    <w:bookmarkStart w:id="57" w:name="analyse-de-survie"/>
    <w:p>
      <w:pPr>
        <w:pStyle w:val="Titre1"/>
      </w:pPr>
      <w:r>
        <w:t xml:space="preserve">Analyse de survie</w:t>
      </w:r>
    </w:p>
    <w:bookmarkStart w:id="52" w:name="évènements"/>
    <w:p>
      <w:pPr>
        <w:pStyle w:val="Titre2"/>
      </w:pPr>
      <w:r>
        <w:t xml:space="preserve">Évènements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ev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8. Évènements.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toutes causes,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Premier évènement,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sans 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(7,8)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Censure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(37,9)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(43,4)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</w:tbl>
          <w:bookmarkEnd w:id="51"/>
        </w:tc>
      </w:tr>
    </w:tbl>
    <w:p>
      <w:r>
        <w:br w:type="page"/>
      </w:r>
    </w:p>
    <w:bookmarkEnd w:id="52"/>
    <w:bookmarkStart w:id="54" w:name="survie-globale"/>
    <w:p>
      <w:pPr>
        <w:pStyle w:val="Titre2"/>
      </w:pPr>
      <w:r>
        <w:t xml:space="preserve">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ur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9. Estimations Kaplan-Meier de la survie globale,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globale, % [IC95%] (n à risque)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91,2 [85,9 ; 96,9] (88)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68,9 [60,0 ; 79,1] (51)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52,0 [41,5 ; 65,2] (23)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41,6 [30,3 ; 57,0] (7)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88,7 [80,5 ; 97,6] (42)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66,1 [53,7 ; 81,3] (25)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46,9 [33,0 ; 66,7] (11)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32,2 [18,4 ; 56,2] (1)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94,0 [87,6 ; 100,0] (46)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72,0 [60,0 ; 86,4] (26)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57,8 [43,5 ; 76,8] (12)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52,5 [37,4 ; 73,8] (6)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le diagnostic et le décès toutes causes. Les patients sans évènement sont censurés à la date de point du centre.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IC95% : intervalle de confiance à 95%.</w:t>
                  </w:r>
                </w:p>
              </w:tc>
            </w:tr>
          </w:tbl>
          <w:bookmarkEnd w:id="53"/>
        </w:tc>
      </w:tr>
    </w:tbl>
    <w:p>
      <w:r>
        <w:br w:type="page"/>
      </w:r>
    </w:p>
    <w:bookmarkEnd w:id="54"/>
    <w:bookmarkStart w:id="56" w:name="survie-sans-récidive"/>
    <w:p>
      <w:pPr>
        <w:pStyle w:val="Titre2"/>
      </w:pPr>
      <w:r>
        <w:t xml:space="preserve">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surv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10. Estimations Kaplan-Meier de la survie sans récidive,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sans récidive, % [IC95%] (n à risque)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mois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63,0 [54,1 ; 73,2] (59)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37,1 [28,1 ; 48,8] (22)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 (6)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24,7 [15,5 ; 39,3] (1)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0,068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72,4 [61,0 ; 85,9] (34)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42,7 [30,3 ; 60,1] (14)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 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29,1 [16,5 ; 51,4] (0)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53,2 [40,9 ; 69,2] (25)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31,5 [20,2 ; 49,3] (8)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 (2)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21,0 [10,2 ; 43,3] (1)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Test du log-rank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IC95% : intervalle de confiance à 95%.</w:t>
                  </w:r>
                </w:p>
              </w:tc>
            </w:tr>
          </w:tbl>
          <w:bookmarkEnd w:id="55"/>
        </w:tc>
      </w:tr>
    </w:tbl>
    <w:p>
      <w:r>
        <w:br w:type="page"/>
      </w:r>
    </w:p>
    <w:bookmarkEnd w:id="56"/>
    <w:bookmarkEnd w:id="57"/>
    <w:bookmarkStart w:id="64" w:name="analyse-multivariable"/>
    <w:p>
      <w:pPr>
        <w:pStyle w:val="Titre1"/>
      </w:pPr>
      <w:r>
        <w:t xml:space="preserve">Analyse multivariable</w:t>
      </w:r>
    </w:p>
    <w:bookmarkStart w:id="59" w:name="régression-de-quasi-poisson"/>
    <w:p>
      <w:pPr>
        <w:pStyle w:val="Titre2"/>
      </w:pPr>
      <w:r>
        <w:t xml:space="preserve">Régression de quasi-Poisson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11. Facteurs associés à une augmentation du nombre total de cures reçues.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[1,06 ; 1,38]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1,22 [1,05 ; 1,41]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0,052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[1,02 ; 1,51]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[1,01 ; 1,53]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[1,00 ; 1,44]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1,11 [0,91 ; 1,35]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[0,97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1,35 [1,06 ; 1,72]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[0,92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0,95 [0,91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[0,76 ; 1,04]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0,94 [0,79 ; 1,12]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0,70 [0,55 ; 0,87]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0,73 [0,58 ; 0,91]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0,005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quasi-Poisson multivariable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portant sur 91 observations complètes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(12 observations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nombre total de cures de chimiothérapie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reçues, toutes phases confondues, modélisé en comptage.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IRR : rapport du nombre moyen de cures ; aIRR : rapport du nombre moyen de cures ajusté ; IC95% : intervalle de confiance à 95%.</w:t>
                  </w:r>
                </w:p>
              </w:tc>
            </w:tr>
          </w:tbl>
          <w:bookmarkEnd w:id="58"/>
        </w:tc>
      </w:tr>
    </w:tbl>
    <w:p>
      <w:r>
        <w:br w:type="page"/>
      </w:r>
    </w:p>
    <w:bookmarkEnd w:id="59"/>
    <w:bookmarkStart w:id="61" w:name="estimation-de-la-survie-globale"/>
    <w:p>
      <w:pPr>
        <w:pStyle w:val="Titre2"/>
      </w:pPr>
      <w:r>
        <w:t xml:space="preserve">Estimation de la 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coxp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12. Estimation de la survie globale,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0,16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0,76 [0,42 ; 1,37]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0,63 [0,33 ; 1,20]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[0,41 ; 1,93]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[0,54 ; 2,19]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0,41 [0,09 ; 1,80]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[0,92 ; 1,29]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1,07 [0,89 ; 1,29]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1,35 [0,71 ; 2,56]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[0,71 ; 2,71]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5,92 [2,93 ; 12,0]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&lt;0,001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incluant 42 évènements pour 95 observations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complètes (8 observations supprimées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le diagnostic et le décès toutes causes. Les patients sans évènement sont censurés à la date de point du centre. Un hazard ratio &gt; 1 est en faveur d'un risque plus élevé 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décès toutes causes comparé au groupe de référence.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0"/>
        </w:tc>
      </w:tr>
    </w:tbl>
    <w:p>
      <w:r>
        <w:br w:type="page"/>
      </w:r>
    </w:p>
    <w:bookmarkEnd w:id="61"/>
    <w:bookmarkStart w:id="63" w:name="estimation-de-la-survie-sans-récidive"/>
    <w:p>
      <w:pPr>
        <w:pStyle w:val="Titre2"/>
      </w:pPr>
      <w:r>
        <w:t xml:space="preserve">Estimation de la survie sans récidive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oxph-p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13. Estimation de la survie sans récidive,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0,070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0,23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30/51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1,58 [0,96 ; 2,59]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[0,82 ; 2,36]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La Roche-sur-Yon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0,78 [0,39 ; 1,56]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26/36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1,39 [0,76 ; 2,55]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0,53 [0,20 ; 1,42]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64/103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[0,89 ; 1,19]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0,67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59/95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1,05 [0,90 ; 1,22]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0,92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[0,63 ; 1,92]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1,03 [0,57 ; 1,85]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 majeure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60/98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3,05 [1,64 ; 5,69]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Cox multivariable stratifié sur le centre,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incluant 59 évènements pour 95 observations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complètes (8 observations supprimées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Définie par un grade supérieur ou égal à III selon la classification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récidive ou décès toutes causes comparé au groupe de référence.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62"/>
        </w:tc>
      </w:tr>
    </w:tbl>
    <w:bookmarkEnd w:id="63"/>
    <w:bookmarkEnd w:id="64"/>
    <w:sectPr w:rsidR="00C84070" w:rsidRPr="00C84070" w:rsidSect="00BC7ACD">
      <w:footerReference r:id="rId25" w:type="default"/>
      <w:pgSz w:h="16840" w:w="11900"/>
      <w:pgMar w:bottom="1417" w:footer="708" w:gutter="0" w:header="708" w:left="1417" w:right="1417" w:top="141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4214229"/>
      <w:docPartObj>
        <w:docPartGallery w:val="Page Numbers (Bottom of Page)"/>
        <w:docPartUnique/>
      </w:docPartObj>
    </w:sdtPr>
    <w:sdtEndPr/>
    <w:sdtContent>
      <w:p w14:paraId="49CCCE39" w14:textId="77777777" w:rsidR="003B3367" w:rsidRDefault="003B3367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20</w:t>
        </w:r>
        <w:r>
          <w:fldChar w:fldCharType="end"/>
        </w:r>
      </w:p>
    </w:sdtContent>
  </w:sdt>
  <w:p w14:paraId="51102C62" w14:textId="77777777" w:rsidR="003B3367" w:rsidRDefault="003B3367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4DC0A5C"/>
    <w:multiLevelType w:val="hybridMultilevel"/>
    <w:tmpl w:val="AA5AAA70"/>
    <w:lvl w:ilvl="0" w:tplc="BAE8F50E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01818E7"/>
    <w:multiLevelType w:val="hybridMultilevel"/>
    <w:tmpl w:val="FB8E061C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126E36B9"/>
    <w:multiLevelType w:val="hybridMultilevel"/>
    <w:tmpl w:val="704EC2A0"/>
    <w:lvl w:ilvl="0" w:tplc="E7AEBAA0">
      <w:start w:val="1"/>
      <w:numFmt w:val="bullet"/>
      <w:pStyle w:val="aareferencebiblioul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33D063BB"/>
    <w:multiLevelType w:val="hybridMultilevel"/>
    <w:tmpl w:val="B4B079E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3DDB48CB"/>
    <w:multiLevelType w:val="hybridMultilevel"/>
    <w:tmpl w:val="C7129EEA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F527A05"/>
    <w:multiLevelType w:val="hybridMultilevel"/>
    <w:tmpl w:val="C848EAB2"/>
    <w:lvl w:ilvl="0" w:tplc="FF6425B4">
      <w:start w:val="10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50E52250"/>
    <w:multiLevelType w:val="hybridMultilevel"/>
    <w:tmpl w:val="67F216A6"/>
    <w:lvl w:ilvl="0" w:tplc="16143D56">
      <w:start w:val="1"/>
      <w:numFmt w:val="decimal"/>
      <w:pStyle w:val="aareferencebiblio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60FE408A"/>
    <w:multiLevelType w:val="hybridMultilevel"/>
    <w:tmpl w:val="78E0CE88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696B7C68"/>
    <w:multiLevelType w:val="multilevel"/>
    <w:tmpl w:val="883025DE"/>
    <w:name w:val="Hiérarchie de titres Chazard"/>
    <w:lvl w:ilvl="0">
      <w:start w:val="1"/>
      <w:numFmt w:val="none"/>
      <w:pStyle w:val="Titre"/>
      <w:suff w:val="nothing"/>
      <w:lvlText w:val="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itre1"/>
      <w:lvlText w:val="%1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itre2"/>
      <w:lvlText w:val="%1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itre3"/>
      <w:lvlText w:val="%1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Titre4"/>
      <w:lvlText w:val="%1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Titre5"/>
      <w:lvlText w:val="%1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Titre6"/>
      <w:lvlText w:val="%1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Titre7"/>
      <w:lvlText w:val="%1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Titre8"/>
      <w:lvlText w:val="%1%2.%3.%4.%5.%6.%7.%8.%9"/>
      <w:lvlJc w:val="left"/>
      <w:pPr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8"/>
  </w:num>
  <w:num w:numId="5">
    <w:abstractNumId w:val="3"/>
  </w:num>
  <w:num w:numId="6">
    <w:abstractNumId w:val="0"/>
  </w:num>
  <w:num w:numId="7">
    <w:abstractNumId w:val="5"/>
  </w:num>
  <w:num w:numId="8">
    <w:abstractNumId w:val="4"/>
  </w:num>
  <w:num w:numId="9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displayBackgroundShape/>
  <w:embedSystemFonts/>
  <w:proofState w:grammar="clean" w:spelling="clean"/>
  <w:stylePaneFormatFilter w:allStyles="1" w:alternateStyleNames="0" w:clearFormatting="1" w:customStyles="0" w:directFormattingOnNumbering="0" w:directFormattingOnParagraphs="0" w:directFormattingOnRuns="0" w:directFormattingOnTables="0" w:headingStyles="1" w:latentStyles="0" w:numberingStyles="0" w:stylesInUse="0" w:tableStyles="0" w:top3HeadingStyles="0" w:val="10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A6"/>
    <w:rsid w:val="000007F1"/>
    <w:rsid w:val="000046D0"/>
    <w:rsid w:val="00004848"/>
    <w:rsid w:val="00010DFD"/>
    <w:rsid w:val="00013237"/>
    <w:rsid w:val="00026A85"/>
    <w:rsid w:val="0002744F"/>
    <w:rsid w:val="00032615"/>
    <w:rsid w:val="0003485A"/>
    <w:rsid w:val="0003783C"/>
    <w:rsid w:val="00041A0B"/>
    <w:rsid w:val="00042989"/>
    <w:rsid w:val="0004648B"/>
    <w:rsid w:val="00046F6D"/>
    <w:rsid w:val="00053909"/>
    <w:rsid w:val="00055B80"/>
    <w:rsid w:val="000567ED"/>
    <w:rsid w:val="00057ACB"/>
    <w:rsid w:val="00057FBA"/>
    <w:rsid w:val="000647D9"/>
    <w:rsid w:val="00065BB0"/>
    <w:rsid w:val="000662E3"/>
    <w:rsid w:val="00070D3B"/>
    <w:rsid w:val="00073481"/>
    <w:rsid w:val="00085BC9"/>
    <w:rsid w:val="00087DE0"/>
    <w:rsid w:val="00087F50"/>
    <w:rsid w:val="00090E2C"/>
    <w:rsid w:val="00093976"/>
    <w:rsid w:val="0009644F"/>
    <w:rsid w:val="000B07BF"/>
    <w:rsid w:val="000C094E"/>
    <w:rsid w:val="000C09D6"/>
    <w:rsid w:val="000C2C82"/>
    <w:rsid w:val="000D1335"/>
    <w:rsid w:val="000D19EB"/>
    <w:rsid w:val="000D29BE"/>
    <w:rsid w:val="000D3BCB"/>
    <w:rsid w:val="000D4503"/>
    <w:rsid w:val="000E0F17"/>
    <w:rsid w:val="000E6D64"/>
    <w:rsid w:val="000E736A"/>
    <w:rsid w:val="000F14FF"/>
    <w:rsid w:val="00106A81"/>
    <w:rsid w:val="001109A9"/>
    <w:rsid w:val="001122EC"/>
    <w:rsid w:val="00114407"/>
    <w:rsid w:val="00116D03"/>
    <w:rsid w:val="00117B86"/>
    <w:rsid w:val="0012076A"/>
    <w:rsid w:val="00133DFD"/>
    <w:rsid w:val="00133F61"/>
    <w:rsid w:val="0013703B"/>
    <w:rsid w:val="00140A55"/>
    <w:rsid w:val="001421EE"/>
    <w:rsid w:val="00142C55"/>
    <w:rsid w:val="00145951"/>
    <w:rsid w:val="00150045"/>
    <w:rsid w:val="001538F1"/>
    <w:rsid w:val="00167E65"/>
    <w:rsid w:val="001744EF"/>
    <w:rsid w:val="00175825"/>
    <w:rsid w:val="00180783"/>
    <w:rsid w:val="001823B8"/>
    <w:rsid w:val="00182E06"/>
    <w:rsid w:val="0019023E"/>
    <w:rsid w:val="001914E7"/>
    <w:rsid w:val="00192A1E"/>
    <w:rsid w:val="00194F5D"/>
    <w:rsid w:val="001A1C0A"/>
    <w:rsid w:val="001A3D3B"/>
    <w:rsid w:val="001A6486"/>
    <w:rsid w:val="001C0CAA"/>
    <w:rsid w:val="001C64C9"/>
    <w:rsid w:val="001C69C2"/>
    <w:rsid w:val="001C6B38"/>
    <w:rsid w:val="001C773A"/>
    <w:rsid w:val="001D02A9"/>
    <w:rsid w:val="001D0579"/>
    <w:rsid w:val="001D2D3F"/>
    <w:rsid w:val="001D5642"/>
    <w:rsid w:val="001E0AA4"/>
    <w:rsid w:val="001E1943"/>
    <w:rsid w:val="001E20EF"/>
    <w:rsid w:val="001E21D3"/>
    <w:rsid w:val="001E3EEF"/>
    <w:rsid w:val="001E42BD"/>
    <w:rsid w:val="001F033B"/>
    <w:rsid w:val="001F1E43"/>
    <w:rsid w:val="001F3DD0"/>
    <w:rsid w:val="0020083B"/>
    <w:rsid w:val="002040FA"/>
    <w:rsid w:val="00211F05"/>
    <w:rsid w:val="00215198"/>
    <w:rsid w:val="002217FC"/>
    <w:rsid w:val="00225B71"/>
    <w:rsid w:val="00232524"/>
    <w:rsid w:val="00232566"/>
    <w:rsid w:val="00232ADD"/>
    <w:rsid w:val="002335BD"/>
    <w:rsid w:val="002339A1"/>
    <w:rsid w:val="002350DD"/>
    <w:rsid w:val="0023688D"/>
    <w:rsid w:val="00243273"/>
    <w:rsid w:val="00244724"/>
    <w:rsid w:val="002479DB"/>
    <w:rsid w:val="002535EF"/>
    <w:rsid w:val="0025535D"/>
    <w:rsid w:val="0026118A"/>
    <w:rsid w:val="00263AD5"/>
    <w:rsid w:val="002642DB"/>
    <w:rsid w:val="00264EEA"/>
    <w:rsid w:val="00265862"/>
    <w:rsid w:val="00272BE1"/>
    <w:rsid w:val="00277E7D"/>
    <w:rsid w:val="00283BD3"/>
    <w:rsid w:val="00295E7F"/>
    <w:rsid w:val="002A6282"/>
    <w:rsid w:val="002A79DE"/>
    <w:rsid w:val="002B058E"/>
    <w:rsid w:val="002B0E96"/>
    <w:rsid w:val="002B31C7"/>
    <w:rsid w:val="002B4B0C"/>
    <w:rsid w:val="002B5C2F"/>
    <w:rsid w:val="002C0D59"/>
    <w:rsid w:val="002C517A"/>
    <w:rsid w:val="002C5828"/>
    <w:rsid w:val="002C690B"/>
    <w:rsid w:val="002D3622"/>
    <w:rsid w:val="002D3A51"/>
    <w:rsid w:val="002D6A74"/>
    <w:rsid w:val="002E706A"/>
    <w:rsid w:val="002F415B"/>
    <w:rsid w:val="002F691C"/>
    <w:rsid w:val="0030229C"/>
    <w:rsid w:val="003026D4"/>
    <w:rsid w:val="003035C6"/>
    <w:rsid w:val="00314850"/>
    <w:rsid w:val="00321B27"/>
    <w:rsid w:val="00322500"/>
    <w:rsid w:val="0032383D"/>
    <w:rsid w:val="00330947"/>
    <w:rsid w:val="0033389B"/>
    <w:rsid w:val="00334008"/>
    <w:rsid w:val="003346EC"/>
    <w:rsid w:val="00343572"/>
    <w:rsid w:val="00343E5D"/>
    <w:rsid w:val="00351220"/>
    <w:rsid w:val="00353C50"/>
    <w:rsid w:val="00361C7D"/>
    <w:rsid w:val="003718E3"/>
    <w:rsid w:val="003724F1"/>
    <w:rsid w:val="00374356"/>
    <w:rsid w:val="0038113A"/>
    <w:rsid w:val="003849DD"/>
    <w:rsid w:val="00386487"/>
    <w:rsid w:val="0038655D"/>
    <w:rsid w:val="00387181"/>
    <w:rsid w:val="003923CF"/>
    <w:rsid w:val="003928BA"/>
    <w:rsid w:val="00393008"/>
    <w:rsid w:val="00394833"/>
    <w:rsid w:val="0039667D"/>
    <w:rsid w:val="00396ABE"/>
    <w:rsid w:val="003A04E3"/>
    <w:rsid w:val="003A0F55"/>
    <w:rsid w:val="003B3367"/>
    <w:rsid w:val="003C0516"/>
    <w:rsid w:val="003C178E"/>
    <w:rsid w:val="003D116D"/>
    <w:rsid w:val="003D2878"/>
    <w:rsid w:val="003D3868"/>
    <w:rsid w:val="003D5EF1"/>
    <w:rsid w:val="003D6B5E"/>
    <w:rsid w:val="003E3379"/>
    <w:rsid w:val="003E3965"/>
    <w:rsid w:val="003E628B"/>
    <w:rsid w:val="003F39DE"/>
    <w:rsid w:val="003F5520"/>
    <w:rsid w:val="003F5FF4"/>
    <w:rsid w:val="00400B47"/>
    <w:rsid w:val="004026E4"/>
    <w:rsid w:val="0040482A"/>
    <w:rsid w:val="00404F6E"/>
    <w:rsid w:val="004107E7"/>
    <w:rsid w:val="00414BA0"/>
    <w:rsid w:val="004150A0"/>
    <w:rsid w:val="00416F4E"/>
    <w:rsid w:val="0042137D"/>
    <w:rsid w:val="004224E6"/>
    <w:rsid w:val="0042666A"/>
    <w:rsid w:val="00431620"/>
    <w:rsid w:val="00432A9E"/>
    <w:rsid w:val="0043526D"/>
    <w:rsid w:val="004370C4"/>
    <w:rsid w:val="00437BF1"/>
    <w:rsid w:val="00443D9D"/>
    <w:rsid w:val="00443EC9"/>
    <w:rsid w:val="00446754"/>
    <w:rsid w:val="0044729F"/>
    <w:rsid w:val="00452715"/>
    <w:rsid w:val="00453190"/>
    <w:rsid w:val="004552A8"/>
    <w:rsid w:val="00457C08"/>
    <w:rsid w:val="004647CC"/>
    <w:rsid w:val="00475199"/>
    <w:rsid w:val="00475B9D"/>
    <w:rsid w:val="004763EC"/>
    <w:rsid w:val="00476592"/>
    <w:rsid w:val="0048432C"/>
    <w:rsid w:val="004873FD"/>
    <w:rsid w:val="00493FE4"/>
    <w:rsid w:val="004A5085"/>
    <w:rsid w:val="004A7D88"/>
    <w:rsid w:val="004B134E"/>
    <w:rsid w:val="004B395C"/>
    <w:rsid w:val="004B5509"/>
    <w:rsid w:val="004C0D17"/>
    <w:rsid w:val="004C4C29"/>
    <w:rsid w:val="004C5AAB"/>
    <w:rsid w:val="004C7839"/>
    <w:rsid w:val="004C7CA1"/>
    <w:rsid w:val="004C7D55"/>
    <w:rsid w:val="004D1A50"/>
    <w:rsid w:val="004D268E"/>
    <w:rsid w:val="004E1C77"/>
    <w:rsid w:val="004E673E"/>
    <w:rsid w:val="004F4A3B"/>
    <w:rsid w:val="004F5BE4"/>
    <w:rsid w:val="004F5C16"/>
    <w:rsid w:val="004F6F4F"/>
    <w:rsid w:val="005016FC"/>
    <w:rsid w:val="00501D55"/>
    <w:rsid w:val="00501E07"/>
    <w:rsid w:val="00502A77"/>
    <w:rsid w:val="00504603"/>
    <w:rsid w:val="005062E5"/>
    <w:rsid w:val="00507AA8"/>
    <w:rsid w:val="00515C9D"/>
    <w:rsid w:val="00524EEA"/>
    <w:rsid w:val="005254F6"/>
    <w:rsid w:val="005301E4"/>
    <w:rsid w:val="005338B9"/>
    <w:rsid w:val="00537185"/>
    <w:rsid w:val="0054227F"/>
    <w:rsid w:val="00543165"/>
    <w:rsid w:val="0054325A"/>
    <w:rsid w:val="00543A2E"/>
    <w:rsid w:val="005520DD"/>
    <w:rsid w:val="00552829"/>
    <w:rsid w:val="005575B4"/>
    <w:rsid w:val="00561A97"/>
    <w:rsid w:val="00562B1A"/>
    <w:rsid w:val="00565724"/>
    <w:rsid w:val="00566846"/>
    <w:rsid w:val="00566A47"/>
    <w:rsid w:val="00572283"/>
    <w:rsid w:val="0057311B"/>
    <w:rsid w:val="0057389F"/>
    <w:rsid w:val="0057525A"/>
    <w:rsid w:val="0057725A"/>
    <w:rsid w:val="00581D63"/>
    <w:rsid w:val="0058206F"/>
    <w:rsid w:val="00586AE2"/>
    <w:rsid w:val="00592C73"/>
    <w:rsid w:val="005A1A88"/>
    <w:rsid w:val="005A44A7"/>
    <w:rsid w:val="005A47B7"/>
    <w:rsid w:val="005A66CE"/>
    <w:rsid w:val="005B0F65"/>
    <w:rsid w:val="005B1A49"/>
    <w:rsid w:val="005B1F4C"/>
    <w:rsid w:val="005C5127"/>
    <w:rsid w:val="005D17EE"/>
    <w:rsid w:val="005D2618"/>
    <w:rsid w:val="005D6B29"/>
    <w:rsid w:val="005D7490"/>
    <w:rsid w:val="005E26F0"/>
    <w:rsid w:val="005E3525"/>
    <w:rsid w:val="005E3990"/>
    <w:rsid w:val="005E4E1E"/>
    <w:rsid w:val="005E6457"/>
    <w:rsid w:val="005F45F5"/>
    <w:rsid w:val="005F6BA9"/>
    <w:rsid w:val="006039E5"/>
    <w:rsid w:val="00614A6B"/>
    <w:rsid w:val="00621B5B"/>
    <w:rsid w:val="00623977"/>
    <w:rsid w:val="00630D10"/>
    <w:rsid w:val="0063246A"/>
    <w:rsid w:val="0064127F"/>
    <w:rsid w:val="006479E0"/>
    <w:rsid w:val="00656206"/>
    <w:rsid w:val="00656629"/>
    <w:rsid w:val="0065747A"/>
    <w:rsid w:val="00662210"/>
    <w:rsid w:val="0066302D"/>
    <w:rsid w:val="006630E5"/>
    <w:rsid w:val="00666A8E"/>
    <w:rsid w:val="0067029D"/>
    <w:rsid w:val="00677124"/>
    <w:rsid w:val="00677872"/>
    <w:rsid w:val="00681486"/>
    <w:rsid w:val="006826A2"/>
    <w:rsid w:val="00683EE6"/>
    <w:rsid w:val="00695847"/>
    <w:rsid w:val="00697649"/>
    <w:rsid w:val="006A076E"/>
    <w:rsid w:val="006A1779"/>
    <w:rsid w:val="006A660B"/>
    <w:rsid w:val="006A7C2D"/>
    <w:rsid w:val="006B300F"/>
    <w:rsid w:val="006B448A"/>
    <w:rsid w:val="006B6135"/>
    <w:rsid w:val="006C399E"/>
    <w:rsid w:val="006C542E"/>
    <w:rsid w:val="006C7CB0"/>
    <w:rsid w:val="006D0A80"/>
    <w:rsid w:val="006D1084"/>
    <w:rsid w:val="006D16ED"/>
    <w:rsid w:val="006D400D"/>
    <w:rsid w:val="006D7097"/>
    <w:rsid w:val="006E00B8"/>
    <w:rsid w:val="006E017C"/>
    <w:rsid w:val="006E466E"/>
    <w:rsid w:val="006E4DF8"/>
    <w:rsid w:val="006F4BA7"/>
    <w:rsid w:val="006F6138"/>
    <w:rsid w:val="00702563"/>
    <w:rsid w:val="007069CE"/>
    <w:rsid w:val="0071182E"/>
    <w:rsid w:val="00711BF0"/>
    <w:rsid w:val="007154D7"/>
    <w:rsid w:val="00715CB1"/>
    <w:rsid w:val="00724449"/>
    <w:rsid w:val="007247BF"/>
    <w:rsid w:val="00726C97"/>
    <w:rsid w:val="00733175"/>
    <w:rsid w:val="007406E0"/>
    <w:rsid w:val="00740F0F"/>
    <w:rsid w:val="00741839"/>
    <w:rsid w:val="007457BB"/>
    <w:rsid w:val="00747BFC"/>
    <w:rsid w:val="00750440"/>
    <w:rsid w:val="00754AEF"/>
    <w:rsid w:val="00754F97"/>
    <w:rsid w:val="007645A7"/>
    <w:rsid w:val="0076799B"/>
    <w:rsid w:val="00772D25"/>
    <w:rsid w:val="00784775"/>
    <w:rsid w:val="00791710"/>
    <w:rsid w:val="00791F0E"/>
    <w:rsid w:val="00794787"/>
    <w:rsid w:val="007A36F8"/>
    <w:rsid w:val="007A523C"/>
    <w:rsid w:val="007B18D7"/>
    <w:rsid w:val="007B1E77"/>
    <w:rsid w:val="007B332B"/>
    <w:rsid w:val="007C7F99"/>
    <w:rsid w:val="007D1316"/>
    <w:rsid w:val="007D4B2C"/>
    <w:rsid w:val="007D6A1F"/>
    <w:rsid w:val="007D705C"/>
    <w:rsid w:val="007E19D1"/>
    <w:rsid w:val="007E3D8D"/>
    <w:rsid w:val="007E4DDC"/>
    <w:rsid w:val="007E6DAC"/>
    <w:rsid w:val="007F0F1A"/>
    <w:rsid w:val="007F1A1B"/>
    <w:rsid w:val="007F24FA"/>
    <w:rsid w:val="007F2BBC"/>
    <w:rsid w:val="007F4EAE"/>
    <w:rsid w:val="007F5A75"/>
    <w:rsid w:val="007F6F5F"/>
    <w:rsid w:val="008002E9"/>
    <w:rsid w:val="00802425"/>
    <w:rsid w:val="00803AF0"/>
    <w:rsid w:val="00811D94"/>
    <w:rsid w:val="00814236"/>
    <w:rsid w:val="00823DE5"/>
    <w:rsid w:val="00824503"/>
    <w:rsid w:val="00824F57"/>
    <w:rsid w:val="00825473"/>
    <w:rsid w:val="00834BBF"/>
    <w:rsid w:val="0083684B"/>
    <w:rsid w:val="00836EA4"/>
    <w:rsid w:val="00837FB0"/>
    <w:rsid w:val="008441F8"/>
    <w:rsid w:val="00851882"/>
    <w:rsid w:val="00851DE4"/>
    <w:rsid w:val="00862585"/>
    <w:rsid w:val="00863788"/>
    <w:rsid w:val="00870190"/>
    <w:rsid w:val="008766B4"/>
    <w:rsid w:val="008851F2"/>
    <w:rsid w:val="008853CF"/>
    <w:rsid w:val="008A199D"/>
    <w:rsid w:val="008A1EE3"/>
    <w:rsid w:val="008A3A19"/>
    <w:rsid w:val="008A5110"/>
    <w:rsid w:val="008A5CED"/>
    <w:rsid w:val="008B33F6"/>
    <w:rsid w:val="008B47EE"/>
    <w:rsid w:val="008B4E97"/>
    <w:rsid w:val="008B4FF8"/>
    <w:rsid w:val="008C06FD"/>
    <w:rsid w:val="008C4A11"/>
    <w:rsid w:val="008C66FE"/>
    <w:rsid w:val="008D0CBF"/>
    <w:rsid w:val="008D0EDB"/>
    <w:rsid w:val="008D3B4B"/>
    <w:rsid w:val="008D438B"/>
    <w:rsid w:val="008D7A6F"/>
    <w:rsid w:val="008D7E3C"/>
    <w:rsid w:val="008E026E"/>
    <w:rsid w:val="008E0BCE"/>
    <w:rsid w:val="008F02BA"/>
    <w:rsid w:val="008F2594"/>
    <w:rsid w:val="008F443F"/>
    <w:rsid w:val="00900EAF"/>
    <w:rsid w:val="00902B48"/>
    <w:rsid w:val="009068A0"/>
    <w:rsid w:val="0091116B"/>
    <w:rsid w:val="00913AA0"/>
    <w:rsid w:val="009150DF"/>
    <w:rsid w:val="009152B3"/>
    <w:rsid w:val="0091625F"/>
    <w:rsid w:val="00921468"/>
    <w:rsid w:val="00927EEA"/>
    <w:rsid w:val="00934D9E"/>
    <w:rsid w:val="00937F98"/>
    <w:rsid w:val="00942107"/>
    <w:rsid w:val="00942713"/>
    <w:rsid w:val="00945A92"/>
    <w:rsid w:val="009517A9"/>
    <w:rsid w:val="0095514E"/>
    <w:rsid w:val="00957D58"/>
    <w:rsid w:val="00960296"/>
    <w:rsid w:val="0096169C"/>
    <w:rsid w:val="00961ED0"/>
    <w:rsid w:val="0096240A"/>
    <w:rsid w:val="009638D0"/>
    <w:rsid w:val="0096435B"/>
    <w:rsid w:val="00977755"/>
    <w:rsid w:val="009811DF"/>
    <w:rsid w:val="00981543"/>
    <w:rsid w:val="0098653E"/>
    <w:rsid w:val="00987A83"/>
    <w:rsid w:val="009906CA"/>
    <w:rsid w:val="00991240"/>
    <w:rsid w:val="00994E97"/>
    <w:rsid w:val="00994EBB"/>
    <w:rsid w:val="009A24F2"/>
    <w:rsid w:val="009A2515"/>
    <w:rsid w:val="009A655A"/>
    <w:rsid w:val="009B1999"/>
    <w:rsid w:val="009B2394"/>
    <w:rsid w:val="009B2CB0"/>
    <w:rsid w:val="009B4E4D"/>
    <w:rsid w:val="009B50DF"/>
    <w:rsid w:val="009B660F"/>
    <w:rsid w:val="009C2F6C"/>
    <w:rsid w:val="009C4BFB"/>
    <w:rsid w:val="009C6337"/>
    <w:rsid w:val="009C7895"/>
    <w:rsid w:val="009D0C8D"/>
    <w:rsid w:val="009D7BFE"/>
    <w:rsid w:val="009E48A5"/>
    <w:rsid w:val="009E6814"/>
    <w:rsid w:val="009F1B9A"/>
    <w:rsid w:val="009F2844"/>
    <w:rsid w:val="009F41FA"/>
    <w:rsid w:val="009F513E"/>
    <w:rsid w:val="00A24527"/>
    <w:rsid w:val="00A304A4"/>
    <w:rsid w:val="00A33057"/>
    <w:rsid w:val="00A351C0"/>
    <w:rsid w:val="00A40452"/>
    <w:rsid w:val="00A40EDB"/>
    <w:rsid w:val="00A5309C"/>
    <w:rsid w:val="00A547A3"/>
    <w:rsid w:val="00A6047F"/>
    <w:rsid w:val="00A64CB8"/>
    <w:rsid w:val="00A70DC1"/>
    <w:rsid w:val="00A71074"/>
    <w:rsid w:val="00A80BB0"/>
    <w:rsid w:val="00A81D66"/>
    <w:rsid w:val="00A81FCA"/>
    <w:rsid w:val="00A86773"/>
    <w:rsid w:val="00A901AB"/>
    <w:rsid w:val="00A93BC8"/>
    <w:rsid w:val="00A94DA6"/>
    <w:rsid w:val="00A96B54"/>
    <w:rsid w:val="00AA340D"/>
    <w:rsid w:val="00AA381B"/>
    <w:rsid w:val="00AA5A3D"/>
    <w:rsid w:val="00AB40D7"/>
    <w:rsid w:val="00AC60B9"/>
    <w:rsid w:val="00AD0370"/>
    <w:rsid w:val="00AD094E"/>
    <w:rsid w:val="00AD11B0"/>
    <w:rsid w:val="00AD1A66"/>
    <w:rsid w:val="00AD2AA7"/>
    <w:rsid w:val="00AD3827"/>
    <w:rsid w:val="00AD7D7B"/>
    <w:rsid w:val="00AE0614"/>
    <w:rsid w:val="00AE1BFF"/>
    <w:rsid w:val="00AE4A28"/>
    <w:rsid w:val="00AE5962"/>
    <w:rsid w:val="00AF5591"/>
    <w:rsid w:val="00AF56A1"/>
    <w:rsid w:val="00AF5EC0"/>
    <w:rsid w:val="00B03827"/>
    <w:rsid w:val="00B0450C"/>
    <w:rsid w:val="00B060CD"/>
    <w:rsid w:val="00B069F0"/>
    <w:rsid w:val="00B109C3"/>
    <w:rsid w:val="00B1538A"/>
    <w:rsid w:val="00B406F7"/>
    <w:rsid w:val="00B46E4B"/>
    <w:rsid w:val="00B5455A"/>
    <w:rsid w:val="00B60EA6"/>
    <w:rsid w:val="00B6718B"/>
    <w:rsid w:val="00B71019"/>
    <w:rsid w:val="00B714C0"/>
    <w:rsid w:val="00B76181"/>
    <w:rsid w:val="00B765B7"/>
    <w:rsid w:val="00B8073A"/>
    <w:rsid w:val="00B83523"/>
    <w:rsid w:val="00B91DE9"/>
    <w:rsid w:val="00B9400E"/>
    <w:rsid w:val="00BA0496"/>
    <w:rsid w:val="00BA59D4"/>
    <w:rsid w:val="00BB6094"/>
    <w:rsid w:val="00BC0598"/>
    <w:rsid w:val="00BC1B2C"/>
    <w:rsid w:val="00BC52B8"/>
    <w:rsid w:val="00BC62EF"/>
    <w:rsid w:val="00BC7ACD"/>
    <w:rsid w:val="00BD1464"/>
    <w:rsid w:val="00BD28EA"/>
    <w:rsid w:val="00BD458F"/>
    <w:rsid w:val="00BD731F"/>
    <w:rsid w:val="00BE086A"/>
    <w:rsid w:val="00BE671D"/>
    <w:rsid w:val="00BF37A9"/>
    <w:rsid w:val="00BF4881"/>
    <w:rsid w:val="00C12630"/>
    <w:rsid w:val="00C16F30"/>
    <w:rsid w:val="00C17CA3"/>
    <w:rsid w:val="00C222B8"/>
    <w:rsid w:val="00C23587"/>
    <w:rsid w:val="00C24962"/>
    <w:rsid w:val="00C302D9"/>
    <w:rsid w:val="00C326C8"/>
    <w:rsid w:val="00C33E68"/>
    <w:rsid w:val="00C34225"/>
    <w:rsid w:val="00C35AB3"/>
    <w:rsid w:val="00C410E1"/>
    <w:rsid w:val="00C42A45"/>
    <w:rsid w:val="00C6141B"/>
    <w:rsid w:val="00C61CC2"/>
    <w:rsid w:val="00C6662D"/>
    <w:rsid w:val="00C7109D"/>
    <w:rsid w:val="00C71612"/>
    <w:rsid w:val="00C77772"/>
    <w:rsid w:val="00C84070"/>
    <w:rsid w:val="00C84287"/>
    <w:rsid w:val="00C87FB3"/>
    <w:rsid w:val="00C907D8"/>
    <w:rsid w:val="00C92EE1"/>
    <w:rsid w:val="00C9395C"/>
    <w:rsid w:val="00C97882"/>
    <w:rsid w:val="00CA57C4"/>
    <w:rsid w:val="00CA75F0"/>
    <w:rsid w:val="00CA7A94"/>
    <w:rsid w:val="00CB1FC7"/>
    <w:rsid w:val="00CB5103"/>
    <w:rsid w:val="00CC313C"/>
    <w:rsid w:val="00CC6B1C"/>
    <w:rsid w:val="00CC6EA9"/>
    <w:rsid w:val="00CC7951"/>
    <w:rsid w:val="00CD21AB"/>
    <w:rsid w:val="00CD7C11"/>
    <w:rsid w:val="00CE2777"/>
    <w:rsid w:val="00CF5AA0"/>
    <w:rsid w:val="00D00F9A"/>
    <w:rsid w:val="00D03636"/>
    <w:rsid w:val="00D067DD"/>
    <w:rsid w:val="00D06EE6"/>
    <w:rsid w:val="00D073E2"/>
    <w:rsid w:val="00D106EF"/>
    <w:rsid w:val="00D11CA5"/>
    <w:rsid w:val="00D14368"/>
    <w:rsid w:val="00D16EE9"/>
    <w:rsid w:val="00D268B4"/>
    <w:rsid w:val="00D37246"/>
    <w:rsid w:val="00D3782D"/>
    <w:rsid w:val="00D426DF"/>
    <w:rsid w:val="00D42EEE"/>
    <w:rsid w:val="00D45952"/>
    <w:rsid w:val="00D509CD"/>
    <w:rsid w:val="00D54EA2"/>
    <w:rsid w:val="00D563BF"/>
    <w:rsid w:val="00D6128C"/>
    <w:rsid w:val="00D61E29"/>
    <w:rsid w:val="00D622AB"/>
    <w:rsid w:val="00D62B54"/>
    <w:rsid w:val="00D6373E"/>
    <w:rsid w:val="00D63B85"/>
    <w:rsid w:val="00D64F5C"/>
    <w:rsid w:val="00D843AF"/>
    <w:rsid w:val="00D85740"/>
    <w:rsid w:val="00D86091"/>
    <w:rsid w:val="00D915AA"/>
    <w:rsid w:val="00D916AA"/>
    <w:rsid w:val="00D93932"/>
    <w:rsid w:val="00D951F3"/>
    <w:rsid w:val="00DA0C49"/>
    <w:rsid w:val="00DA3A34"/>
    <w:rsid w:val="00DA55D3"/>
    <w:rsid w:val="00DB0B6E"/>
    <w:rsid w:val="00DB2795"/>
    <w:rsid w:val="00DB3F53"/>
    <w:rsid w:val="00DB764F"/>
    <w:rsid w:val="00DC1EC5"/>
    <w:rsid w:val="00DC27F1"/>
    <w:rsid w:val="00DC565E"/>
    <w:rsid w:val="00DC75E0"/>
    <w:rsid w:val="00DD51F6"/>
    <w:rsid w:val="00DD58D8"/>
    <w:rsid w:val="00DE0C3B"/>
    <w:rsid w:val="00DE54EF"/>
    <w:rsid w:val="00DF0057"/>
    <w:rsid w:val="00DF0060"/>
    <w:rsid w:val="00DF0D66"/>
    <w:rsid w:val="00DF2ED0"/>
    <w:rsid w:val="00DF45EE"/>
    <w:rsid w:val="00DF4E43"/>
    <w:rsid w:val="00DF6CF5"/>
    <w:rsid w:val="00E01309"/>
    <w:rsid w:val="00E044D4"/>
    <w:rsid w:val="00E04AA6"/>
    <w:rsid w:val="00E0509B"/>
    <w:rsid w:val="00E10A04"/>
    <w:rsid w:val="00E14AB4"/>
    <w:rsid w:val="00E14E20"/>
    <w:rsid w:val="00E16F64"/>
    <w:rsid w:val="00E20FD4"/>
    <w:rsid w:val="00E21769"/>
    <w:rsid w:val="00E25245"/>
    <w:rsid w:val="00E25DA2"/>
    <w:rsid w:val="00E271D3"/>
    <w:rsid w:val="00E30F0C"/>
    <w:rsid w:val="00E31724"/>
    <w:rsid w:val="00E335D7"/>
    <w:rsid w:val="00E33FE8"/>
    <w:rsid w:val="00E420D9"/>
    <w:rsid w:val="00E42792"/>
    <w:rsid w:val="00E42B08"/>
    <w:rsid w:val="00E4443E"/>
    <w:rsid w:val="00E5162B"/>
    <w:rsid w:val="00E5357B"/>
    <w:rsid w:val="00E556DF"/>
    <w:rsid w:val="00E57D93"/>
    <w:rsid w:val="00E60DAF"/>
    <w:rsid w:val="00E630A2"/>
    <w:rsid w:val="00E71F8B"/>
    <w:rsid w:val="00E72043"/>
    <w:rsid w:val="00E72C12"/>
    <w:rsid w:val="00E8019A"/>
    <w:rsid w:val="00E81D44"/>
    <w:rsid w:val="00E82BB7"/>
    <w:rsid w:val="00E83266"/>
    <w:rsid w:val="00E838DB"/>
    <w:rsid w:val="00E900B5"/>
    <w:rsid w:val="00EB3EA6"/>
    <w:rsid w:val="00EB4B1E"/>
    <w:rsid w:val="00EB5702"/>
    <w:rsid w:val="00EB62ED"/>
    <w:rsid w:val="00EC46D6"/>
    <w:rsid w:val="00EC6FBB"/>
    <w:rsid w:val="00ED329A"/>
    <w:rsid w:val="00ED5647"/>
    <w:rsid w:val="00EE4F91"/>
    <w:rsid w:val="00EF0177"/>
    <w:rsid w:val="00EF26F8"/>
    <w:rsid w:val="00EF3495"/>
    <w:rsid w:val="00F00884"/>
    <w:rsid w:val="00F00E72"/>
    <w:rsid w:val="00F0404F"/>
    <w:rsid w:val="00F066DD"/>
    <w:rsid w:val="00F079D0"/>
    <w:rsid w:val="00F113E8"/>
    <w:rsid w:val="00F1371F"/>
    <w:rsid w:val="00F2076D"/>
    <w:rsid w:val="00F20D38"/>
    <w:rsid w:val="00F24900"/>
    <w:rsid w:val="00F270F4"/>
    <w:rsid w:val="00F3418E"/>
    <w:rsid w:val="00F369B0"/>
    <w:rsid w:val="00F377A3"/>
    <w:rsid w:val="00F45016"/>
    <w:rsid w:val="00F51289"/>
    <w:rsid w:val="00F51556"/>
    <w:rsid w:val="00F57FD9"/>
    <w:rsid w:val="00F6554B"/>
    <w:rsid w:val="00F6559C"/>
    <w:rsid w:val="00F76E79"/>
    <w:rsid w:val="00F832E2"/>
    <w:rsid w:val="00F85A30"/>
    <w:rsid w:val="00F91704"/>
    <w:rsid w:val="00F92374"/>
    <w:rsid w:val="00FB1712"/>
    <w:rsid w:val="00FB4D89"/>
    <w:rsid w:val="00FB54FD"/>
    <w:rsid w:val="00FB6B78"/>
    <w:rsid w:val="00FC0728"/>
    <w:rsid w:val="00FC099F"/>
    <w:rsid w:val="00FC09BD"/>
    <w:rsid w:val="00FC2638"/>
    <w:rsid w:val="00FC3614"/>
    <w:rsid w:val="00FC39E7"/>
    <w:rsid w:val="00FC4A7D"/>
    <w:rsid w:val="00FC5FDD"/>
    <w:rsid w:val="00FC6DFD"/>
    <w:rsid w:val="00FC71CD"/>
    <w:rsid w:val="00FD02C3"/>
    <w:rsid w:val="00FD1D0F"/>
    <w:rsid w:val="00FD2231"/>
    <w:rsid w:val="00FD37CD"/>
    <w:rsid w:val="00FD44D6"/>
    <w:rsid w:val="00FE1E15"/>
    <w:rsid w:val="00FE2B82"/>
    <w:rsid w:val="00FE356B"/>
    <w:rsid w:val="00FE4E0E"/>
    <w:rsid w:val="00FF061B"/>
    <w:rsid w:val="00FF133F"/>
    <w:rsid w:val="00FF1C80"/>
    <w:rsid w:val="00FF2353"/>
    <w:rsid w:val="00FF5C21"/>
  </w:rsids>
  <w:themeFontLang w:eastAsia="ja-JP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fr-FR" w:val="fr-F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7D55"/>
    <w:pPr>
      <w:spacing w:after="120" w:before="120"/>
      <w:jc w:val="both"/>
    </w:pPr>
    <w:rPr>
      <w:rFonts w:ascii="Arial" w:hAnsi="Arial"/>
    </w:rPr>
  </w:style>
  <w:style w:styleId="Titre1" w:type="paragraph">
    <w:name w:val="heading 1"/>
    <w:basedOn w:val="Normal"/>
    <w:next w:val="Normal"/>
    <w:link w:val="Titre1Car"/>
    <w:uiPriority w:val="9"/>
    <w:qFormat/>
    <w:rsid w:val="00E82BB7"/>
    <w:pPr>
      <w:keepNext/>
      <w:keepLines/>
      <w:numPr>
        <w:ilvl w:val="1"/>
        <w:numId w:val="4"/>
      </w:numPr>
      <w:spacing w:after="320" w:before="480"/>
      <w:jc w:val="left"/>
      <w:outlineLvl w:val="0"/>
    </w:pPr>
    <w:rPr>
      <w:rFonts w:cstheme="majorBidi" w:eastAsiaTheme="majorEastAsia"/>
      <w:b/>
      <w:bCs/>
      <w:color w:val="1B4377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qFormat/>
    <w:rsid w:val="00272BE1"/>
    <w:pPr>
      <w:keepNext/>
      <w:keepLines/>
      <w:numPr>
        <w:ilvl w:val="2"/>
        <w:numId w:val="4"/>
      </w:numPr>
      <w:spacing w:after="240" w:before="240"/>
      <w:jc w:val="left"/>
      <w:outlineLvl w:val="1"/>
    </w:pPr>
    <w:rPr>
      <w:rFonts w:cstheme="majorBidi" w:eastAsiaTheme="majorEastAsia"/>
      <w:b/>
      <w:color w:val="1B4377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qFormat/>
    <w:rsid w:val="00272BE1"/>
    <w:pPr>
      <w:keepNext/>
      <w:keepLines/>
      <w:numPr>
        <w:ilvl w:val="3"/>
        <w:numId w:val="4"/>
      </w:numPr>
      <w:spacing w:after="0" w:before="200"/>
      <w:jc w:val="left"/>
      <w:outlineLvl w:val="2"/>
    </w:pPr>
    <w:rPr>
      <w:rFonts w:cstheme="majorBidi" w:eastAsiaTheme="majorEastAsia"/>
      <w:b/>
      <w:bCs/>
      <w:color w:val="1B4377"/>
      <w:sz w:val="26"/>
    </w:rPr>
  </w:style>
  <w:style w:styleId="Titre4" w:type="paragraph">
    <w:name w:val="heading 4"/>
    <w:basedOn w:val="Normal"/>
    <w:next w:val="Normal"/>
    <w:link w:val="Titre4Car"/>
    <w:uiPriority w:val="9"/>
    <w:qFormat/>
    <w:rsid w:val="00272BE1"/>
    <w:pPr>
      <w:keepNext/>
      <w:keepLines/>
      <w:numPr>
        <w:ilvl w:val="4"/>
        <w:numId w:val="4"/>
      </w:numPr>
      <w:spacing w:after="0" w:before="200"/>
      <w:jc w:val="left"/>
      <w:outlineLvl w:val="3"/>
    </w:pPr>
    <w:rPr>
      <w:rFonts w:asciiTheme="majorHAnsi" w:cstheme="majorBidi" w:eastAsiaTheme="majorEastAsia" w:hAnsiTheme="majorHAnsi"/>
      <w:b/>
      <w:bCs/>
      <w:i/>
      <w:iCs/>
      <w:color w:val="1B4377"/>
    </w:rPr>
  </w:style>
  <w:style w:styleId="Titre5" w:type="paragraph">
    <w:name w:val="heading 5"/>
    <w:basedOn w:val="Normal"/>
    <w:next w:val="Normal"/>
    <w:link w:val="Titre5Car"/>
    <w:uiPriority w:val="9"/>
    <w:qFormat/>
    <w:rsid w:val="00272BE1"/>
    <w:pPr>
      <w:keepNext/>
      <w:keepLines/>
      <w:numPr>
        <w:ilvl w:val="5"/>
        <w:numId w:val="4"/>
      </w:numPr>
      <w:spacing w:after="0" w:before="200"/>
      <w:outlineLvl w:val="4"/>
    </w:pPr>
    <w:rPr>
      <w:rFonts w:asciiTheme="majorHAnsi" w:cstheme="majorBidi" w:eastAsiaTheme="majorEastAsia" w:hAnsiTheme="majorHAnsi"/>
      <w:color w:val="1B4377"/>
    </w:rPr>
  </w:style>
  <w:style w:styleId="Titre6" w:type="paragraph">
    <w:name w:val="heading 6"/>
    <w:basedOn w:val="Normal"/>
    <w:next w:val="Normal"/>
    <w:link w:val="Titre6Car"/>
    <w:uiPriority w:val="9"/>
    <w:qFormat/>
    <w:rsid w:val="00272BE1"/>
    <w:pPr>
      <w:keepNext/>
      <w:keepLines/>
      <w:numPr>
        <w:ilvl w:val="6"/>
        <w:numId w:val="4"/>
      </w:numPr>
      <w:spacing w:after="0" w:before="200"/>
      <w:outlineLvl w:val="5"/>
    </w:pPr>
    <w:rPr>
      <w:rFonts w:asciiTheme="majorHAnsi" w:cstheme="majorBidi" w:eastAsiaTheme="majorEastAsia" w:hAnsiTheme="majorHAnsi"/>
      <w:i/>
      <w:iCs/>
      <w:color w:val="1B4377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283BD3"/>
    <w:pPr>
      <w:keepNext/>
      <w:keepLines/>
      <w:numPr>
        <w:ilvl w:val="7"/>
        <w:numId w:val="4"/>
      </w:numPr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283BD3"/>
    <w:pPr>
      <w:keepNext/>
      <w:keepLines/>
      <w:numPr>
        <w:ilvl w:val="8"/>
        <w:numId w:val="4"/>
      </w:numPr>
      <w:tabs>
        <w:tab w:pos="360" w:val="num"/>
      </w:tabs>
      <w:spacing w:after="0" w:before="200"/>
      <w:ind w:firstLine="0" w:left="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283BD3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82BB7"/>
    <w:rPr>
      <w:rFonts w:ascii="Arial" w:cstheme="majorBidi" w:eastAsiaTheme="majorEastAsia" w:hAnsi="Arial"/>
      <w:b/>
      <w:bCs/>
      <w:color w:val="1B4377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272BE1"/>
    <w:rPr>
      <w:rFonts w:ascii="Arial" w:cstheme="majorBidi" w:eastAsiaTheme="majorEastAsia" w:hAnsi="Arial"/>
      <w:b/>
      <w:color w:val="1B4377"/>
      <w:sz w:val="28"/>
      <w:szCs w:val="26"/>
    </w:rPr>
  </w:style>
  <w:style w:customStyle="1" w:styleId="Titre3Car" w:type="character">
    <w:name w:val="Titre 3 Car"/>
    <w:basedOn w:val="Policepardfaut"/>
    <w:link w:val="Titre3"/>
    <w:uiPriority w:val="9"/>
    <w:rsid w:val="00272BE1"/>
    <w:rPr>
      <w:rFonts w:ascii="Arial" w:cstheme="majorBidi" w:eastAsiaTheme="majorEastAsia" w:hAnsi="Arial"/>
      <w:b/>
      <w:bCs/>
      <w:color w:val="1B4377"/>
      <w:sz w:val="26"/>
    </w:rPr>
  </w:style>
  <w:style w:customStyle="1" w:styleId="Titre4Car" w:type="character">
    <w:name w:val="Titre 4 Car"/>
    <w:basedOn w:val="Policepardfaut"/>
    <w:link w:val="Titre4"/>
    <w:uiPriority w:val="9"/>
    <w:rsid w:val="00272BE1"/>
    <w:rPr>
      <w:rFonts w:asciiTheme="majorHAnsi" w:cstheme="majorBidi" w:eastAsiaTheme="majorEastAsia" w:hAnsiTheme="majorHAnsi"/>
      <w:b/>
      <w:bCs/>
      <w:i/>
      <w:iCs/>
      <w:color w:val="1B4377"/>
    </w:rPr>
  </w:style>
  <w:style w:customStyle="1" w:styleId="Titre5Car" w:type="character">
    <w:name w:val="Titre 5 Car"/>
    <w:basedOn w:val="Policepardfaut"/>
    <w:link w:val="Titre5"/>
    <w:uiPriority w:val="9"/>
    <w:rsid w:val="00272BE1"/>
    <w:rPr>
      <w:rFonts w:asciiTheme="majorHAnsi" w:cstheme="majorBidi" w:eastAsiaTheme="majorEastAsia" w:hAnsiTheme="majorHAnsi"/>
      <w:color w:val="1B4377"/>
    </w:rPr>
  </w:style>
  <w:style w:customStyle="1" w:styleId="Titre6Car" w:type="character">
    <w:name w:val="Titre 6 Car"/>
    <w:basedOn w:val="Policepardfaut"/>
    <w:link w:val="Titre6"/>
    <w:uiPriority w:val="9"/>
    <w:rsid w:val="00272BE1"/>
    <w:rPr>
      <w:rFonts w:asciiTheme="majorHAnsi" w:cstheme="majorBidi" w:eastAsiaTheme="majorEastAsia" w:hAnsiTheme="majorHAnsi"/>
      <w:i/>
      <w:iCs/>
      <w:color w:val="1B4377"/>
    </w:rPr>
  </w:style>
  <w:style w:customStyle="1" w:styleId="Titre7Car" w:type="character">
    <w:name w:val="Titre 7 Car"/>
    <w:basedOn w:val="Policepardfaut"/>
    <w:link w:val="Titre7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283BD3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6A076E"/>
    <w:pPr>
      <w:spacing w:after="0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6A076E"/>
    <w:rPr>
      <w:rFonts w:ascii="Tahoma" w:cs="Tahoma" w:hAnsi="Tahoma"/>
      <w:sz w:val="16"/>
      <w:szCs w:val="16"/>
    </w:rPr>
  </w:style>
  <w:style w:styleId="Grilledutableau" w:type="table">
    <w:name w:val="Table Grid"/>
    <w:basedOn w:val="TableauNormal"/>
    <w:rsid w:val="000B07BF"/>
    <w:rPr>
      <w:rFonts w:ascii="Arial" w:hAnsi="Aria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extedelespacerserv" w:type="character">
    <w:name w:val="Placeholder Text"/>
    <w:basedOn w:val="Policepardfaut"/>
    <w:uiPriority w:val="99"/>
    <w:semiHidden/>
    <w:rsid w:val="00FC6DFD"/>
    <w:rPr>
      <w:color w:val="808080"/>
    </w:rPr>
  </w:style>
  <w:style w:styleId="Paragraphedeliste" w:type="paragraph">
    <w:name w:val="List Paragraph"/>
    <w:basedOn w:val="Normal"/>
    <w:uiPriority w:val="34"/>
    <w:qFormat/>
    <w:rsid w:val="00C6662D"/>
    <w:pPr>
      <w:ind w:left="720"/>
      <w:contextualSpacing/>
    </w:pPr>
  </w:style>
  <w:style w:styleId="Titre" w:type="paragraph">
    <w:name w:val="Title"/>
    <w:basedOn w:val="Normal"/>
    <w:next w:val="Normal"/>
    <w:link w:val="TitreCar"/>
    <w:qFormat/>
    <w:rsid w:val="00C17CA3"/>
    <w:pPr>
      <w:pageBreakBefore/>
      <w:numPr>
        <w:numId w:val="4"/>
      </w:numPr>
      <w:spacing w:after="600" w:before="0"/>
      <w:contextualSpacing/>
      <w:jc w:val="center"/>
      <w:outlineLvl w:val="0"/>
    </w:pPr>
    <w:rPr>
      <w:rFonts w:cstheme="majorBidi" w:eastAsiaTheme="majorEastAsia"/>
      <w:b/>
      <w:color w:val="1B4377"/>
      <w:spacing w:val="5"/>
      <w:kern w:val="28"/>
      <w:sz w:val="48"/>
      <w:szCs w:val="52"/>
    </w:rPr>
  </w:style>
  <w:style w:customStyle="1" w:styleId="TitreCar" w:type="character">
    <w:name w:val="Titre Car"/>
    <w:basedOn w:val="Policepardfaut"/>
    <w:link w:val="Titre"/>
    <w:rsid w:val="00C17CA3"/>
    <w:rPr>
      <w:rFonts w:ascii="Arial" w:cstheme="majorBidi" w:eastAsiaTheme="majorEastAsia" w:hAnsi="Arial"/>
      <w:b/>
      <w:color w:val="1B4377"/>
      <w:spacing w:val="5"/>
      <w:kern w:val="28"/>
      <w:sz w:val="48"/>
      <w:szCs w:val="52"/>
    </w:rPr>
  </w:style>
  <w:style w:styleId="TM2" w:type="paragraph">
    <w:name w:val="toc 2"/>
    <w:basedOn w:val="Normal"/>
    <w:next w:val="Normal"/>
    <w:autoRedefine/>
    <w:uiPriority w:val="39"/>
    <w:unhideWhenUsed/>
    <w:rsid w:val="00283BD3"/>
    <w:pPr>
      <w:spacing w:after="100"/>
      <w:ind w:left="240"/>
    </w:pPr>
  </w:style>
  <w:style w:styleId="TM1" w:type="paragraph">
    <w:name w:val="toc 1"/>
    <w:basedOn w:val="Normal"/>
    <w:next w:val="Normal"/>
    <w:autoRedefine/>
    <w:uiPriority w:val="39"/>
    <w:unhideWhenUsed/>
    <w:rsid w:val="00283BD3"/>
    <w:pPr>
      <w:spacing w:after="100"/>
    </w:pPr>
  </w:style>
  <w:style w:styleId="TM3" w:type="paragraph">
    <w:name w:val="toc 3"/>
    <w:basedOn w:val="Normal"/>
    <w:next w:val="Normal"/>
    <w:autoRedefine/>
    <w:uiPriority w:val="39"/>
    <w:unhideWhenUsed/>
    <w:rsid w:val="00283BD3"/>
    <w:pPr>
      <w:spacing w:after="100"/>
      <w:ind w:left="480"/>
    </w:pPr>
  </w:style>
  <w:style w:styleId="Lienhypertexte" w:type="character">
    <w:name w:val="Hyperlink"/>
    <w:basedOn w:val="Policepardfaut"/>
    <w:uiPriority w:val="99"/>
    <w:unhideWhenUsed/>
    <w:rsid w:val="00283BD3"/>
    <w:rPr>
      <w:color w:themeColor="hyperlink" w:val="0000FF"/>
      <w:u w:val="single"/>
    </w:rPr>
  </w:style>
  <w:style w:styleId="En-tte" w:type="paragraph">
    <w:name w:val="header"/>
    <w:basedOn w:val="Normal"/>
    <w:link w:val="En-tt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En-tteCar" w:type="character">
    <w:name w:val="En-tête Car"/>
    <w:basedOn w:val="Policepardfaut"/>
    <w:link w:val="En-tte"/>
    <w:uiPriority w:val="99"/>
    <w:rsid w:val="00283BD3"/>
    <w:rPr>
      <w:rFonts w:ascii="Times New Roman" w:hAnsi="Times New Roman"/>
    </w:rPr>
  </w:style>
  <w:style w:styleId="Pieddepage" w:type="paragraph">
    <w:name w:val="footer"/>
    <w:basedOn w:val="Normal"/>
    <w:link w:val="Pieddepag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PieddepageCar" w:type="character">
    <w:name w:val="Pied de page Car"/>
    <w:basedOn w:val="Policepardfaut"/>
    <w:link w:val="Pieddepage"/>
    <w:uiPriority w:val="99"/>
    <w:rsid w:val="00283BD3"/>
    <w:rPr>
      <w:rFonts w:ascii="Times New Roman" w:hAnsi="Times New Roman"/>
    </w:rPr>
  </w:style>
  <w:style w:customStyle="1" w:styleId="gras" w:type="character">
    <w:name w:val="gras"/>
    <w:basedOn w:val="Policepardfaut"/>
    <w:uiPriority w:val="1"/>
    <w:qFormat/>
    <w:rsid w:val="00C17CA3"/>
    <w:rPr>
      <w:b/>
      <w:color w:val="1B4377"/>
    </w:rPr>
  </w:style>
  <w:style w:styleId="Listeclaire-Accent2" w:type="table">
    <w:name w:val="Light List Accent 2"/>
    <w:basedOn w:val="TableauNormal"/>
    <w:uiPriority w:val="61"/>
    <w:rsid w:val="00CC7951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Bibliographie" w:type="paragraph">
    <w:name w:val="Bibliography"/>
    <w:basedOn w:val="Normal"/>
    <w:next w:val="Normal"/>
    <w:uiPriority w:val="37"/>
    <w:unhideWhenUsed/>
    <w:rsid w:val="00387181"/>
    <w:pPr>
      <w:tabs>
        <w:tab w:pos="709" w:val="left"/>
      </w:tabs>
      <w:spacing w:after="0"/>
      <w:ind w:hanging="709" w:left="709"/>
    </w:pPr>
  </w:style>
  <w:style w:customStyle="1" w:styleId="noticetemporaire" w:type="paragraph">
    <w:name w:val="notice_temporaire"/>
    <w:basedOn w:val="Normal"/>
    <w:qFormat/>
    <w:rsid w:val="00FF2353"/>
    <w:rPr>
      <w:i/>
      <w:color w:val="000099"/>
    </w:rPr>
  </w:style>
  <w:style w:customStyle="1" w:styleId="aareferencebiblio" w:type="paragraph">
    <w:name w:val="aa_reference_biblio"/>
    <w:basedOn w:val="Paragraphedeliste"/>
    <w:rsid w:val="0083684B"/>
    <w:pPr>
      <w:numPr>
        <w:numId w:val="1"/>
      </w:numPr>
      <w:tabs>
        <w:tab w:pos="9072" w:val="right"/>
      </w:tabs>
      <w:spacing w:after="160"/>
      <w:contextualSpacing w:val="0"/>
      <w:jc w:val="left"/>
    </w:pPr>
    <w:rPr>
      <w:sz w:val="20"/>
      <w:szCs w:val="20"/>
      <w:lang w:val="en-US"/>
    </w:rPr>
  </w:style>
  <w:style w:customStyle="1" w:styleId="renvoi" w:type="character">
    <w:name w:val="renvoi"/>
    <w:basedOn w:val="Policepardfaut"/>
    <w:uiPriority w:val="1"/>
    <w:qFormat/>
    <w:rsid w:val="00E82BB7"/>
    <w:rPr>
      <w:color w:val="1B4377"/>
      <w:u w:val="single"/>
    </w:rPr>
  </w:style>
  <w:style w:styleId="Lgende" w:type="paragraph">
    <w:name w:val="caption"/>
    <w:basedOn w:val="Normal"/>
    <w:next w:val="Normal"/>
    <w:qFormat/>
    <w:rsid w:val="00E82BB7"/>
    <w:pPr>
      <w:spacing w:after="200" w:before="200"/>
      <w:jc w:val="center"/>
    </w:pPr>
    <w:rPr>
      <w:b/>
      <w:i/>
      <w:iCs/>
      <w:color w:val="1B4377"/>
      <w:sz w:val="18"/>
      <w:szCs w:val="18"/>
    </w:rPr>
  </w:style>
  <w:style w:styleId="Notedebasdepage" w:type="paragraph">
    <w:name w:val="footnote text"/>
    <w:basedOn w:val="Normal"/>
    <w:link w:val="NotedebasdepageCar"/>
    <w:semiHidden/>
    <w:unhideWhenUsed/>
    <w:rsid w:val="00F20D38"/>
    <w:pPr>
      <w:spacing w:after="0" w:before="0"/>
      <w:jc w:val="left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semiHidden/>
    <w:rsid w:val="00F20D38"/>
    <w:rPr>
      <w:rFonts w:ascii="Arial" w:hAnsi="Arial"/>
      <w:sz w:val="20"/>
      <w:szCs w:val="20"/>
    </w:rPr>
  </w:style>
  <w:style w:styleId="Appelnotedebasdep" w:type="character">
    <w:name w:val="footnote reference"/>
    <w:basedOn w:val="Policepardfaut"/>
    <w:semiHidden/>
    <w:unhideWhenUsed/>
    <w:rsid w:val="009068A0"/>
    <w:rPr>
      <w:vertAlign w:val="superscript"/>
    </w:rPr>
  </w:style>
  <w:style w:customStyle="1" w:styleId="aareferencebiblioul" w:type="paragraph">
    <w:name w:val="aa_reference_biblio_ul"/>
    <w:basedOn w:val="aareferencebiblio"/>
    <w:rsid w:val="007A36F8"/>
    <w:pPr>
      <w:numPr>
        <w:numId w:val="2"/>
      </w:numPr>
    </w:pPr>
    <w:rPr>
      <w:lang w:val="fr-FR"/>
    </w:rPr>
  </w:style>
  <w:style w:customStyle="1" w:styleId="figureimage" w:type="paragraph">
    <w:name w:val="figure_image"/>
    <w:basedOn w:val="Normal"/>
    <w:qFormat/>
    <w:rsid w:val="009B4E4D"/>
    <w:pPr>
      <w:spacing w:before="360"/>
      <w:jc w:val="center"/>
    </w:pPr>
    <w:rPr>
      <w:noProof/>
    </w:rPr>
  </w:style>
  <w:style w:customStyle="1" w:styleId="figure" w:type="paragraph">
    <w:name w:val="figure"/>
    <w:basedOn w:val="Normal"/>
    <w:rsid w:val="0038113A"/>
    <w:pPr>
      <w:spacing w:before="240"/>
      <w:ind w:hanging="851" w:left="851"/>
      <w:jc w:val="center"/>
    </w:pPr>
    <w:rPr>
      <w:rFonts w:cs="Arial" w:eastAsia="Times New Roman"/>
    </w:rPr>
  </w:style>
  <w:style w:styleId="Marquedecommentaire" w:type="character">
    <w:name w:val="annotation reference"/>
    <w:basedOn w:val="Policepardfaut"/>
    <w:uiPriority w:val="99"/>
    <w:semiHidden/>
    <w:unhideWhenUsed/>
    <w:rsid w:val="00F832E2"/>
    <w:rPr>
      <w:sz w:val="16"/>
      <w:szCs w:val="16"/>
    </w:rPr>
  </w:style>
  <w:style w:styleId="Commentaire" w:type="paragraph">
    <w:name w:val="annotation text"/>
    <w:basedOn w:val="Normal"/>
    <w:link w:val="CommentaireCar"/>
    <w:uiPriority w:val="99"/>
    <w:semiHidden/>
    <w:unhideWhenUsed/>
    <w:rsid w:val="00F832E2"/>
    <w:rPr>
      <w:sz w:val="20"/>
      <w:szCs w:val="20"/>
    </w:rPr>
  </w:style>
  <w:style w:customStyle="1" w:styleId="CommentaireCar" w:type="character">
    <w:name w:val="Commentaire Car"/>
    <w:basedOn w:val="Policepardfaut"/>
    <w:link w:val="Commentaire"/>
    <w:uiPriority w:val="99"/>
    <w:semiHidden/>
    <w:rsid w:val="00F832E2"/>
    <w:rPr>
      <w:rFonts w:ascii="Arial" w:hAnsi="Arial"/>
      <w:sz w:val="20"/>
      <w:szCs w:val="20"/>
    </w:rPr>
  </w:style>
  <w:style w:styleId="Objetducommentaire" w:type="paragraph">
    <w:name w:val="annotation subject"/>
    <w:basedOn w:val="Commentaire"/>
    <w:next w:val="Commentaire"/>
    <w:link w:val="ObjetducommentaireCar"/>
    <w:uiPriority w:val="99"/>
    <w:semiHidden/>
    <w:unhideWhenUsed/>
    <w:rsid w:val="00F832E2"/>
    <w:rPr>
      <w:b/>
      <w:bCs/>
    </w:rPr>
  </w:style>
  <w:style w:customStyle="1" w:styleId="ObjetducommentaireCar" w:type="character">
    <w:name w:val="Objet du commentaire Car"/>
    <w:basedOn w:val="CommentaireCar"/>
    <w:link w:val="Objetducommentaire"/>
    <w:uiPriority w:val="99"/>
    <w:semiHidden/>
    <w:rsid w:val="00F832E2"/>
    <w:rPr>
      <w:rFonts w:ascii="Arial" w:hAnsi="Arial"/>
      <w:b/>
      <w:bCs/>
      <w:sz w:val="20"/>
      <w:szCs w:val="20"/>
    </w:rPr>
  </w:style>
  <w:style w:customStyle="1" w:styleId="code" w:type="paragraph">
    <w:name w:val="code"/>
    <w:basedOn w:val="Normal"/>
    <w:qFormat/>
    <w:rsid w:val="00E82BB7"/>
    <w:pPr>
      <w:shd w:color="auto" w:fill="D9D9D9" w:themeFill="background1" w:themeFillShade="D9" w:val="clear"/>
      <w:spacing w:after="360" w:before="360"/>
      <w:jc w:val="left"/>
    </w:pPr>
    <w:rPr>
      <w:rFonts w:ascii="Lucida Console" w:hAnsi="Lucida Console"/>
      <w:color w:val="1B4377"/>
      <w:sz w:val="20"/>
    </w:rPr>
  </w:style>
  <w:style w:styleId="Listecouleur-Accent1" w:type="table">
    <w:name w:val="Colorful List Accent 1"/>
    <w:basedOn w:val="TableauNormal"/>
    <w:uiPriority w:val="72"/>
    <w:rsid w:val="00AE1BFF"/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rmalWeb" w:type="paragraph">
    <w:name w:val="Normal (Web)"/>
    <w:basedOn w:val="Normal"/>
    <w:uiPriority w:val="99"/>
    <w:unhideWhenUsed/>
    <w:rsid w:val="00443D9D"/>
    <w:pPr>
      <w:spacing w:after="100" w:afterAutospacing="1" w:before="100" w:beforeAutospacing="1"/>
      <w:jc w:val="left"/>
    </w:pPr>
    <w:rPr>
      <w:rFonts w:ascii="Times New Roman" w:cs="Times New Roman" w:eastAsia="Times New Roman" w:hAnsi="Times New Roman"/>
    </w:rPr>
  </w:style>
  <w:style w:styleId="TM4" w:type="paragraph">
    <w:name w:val="toc 4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660"/>
      <w:jc w:val="left"/>
    </w:pPr>
    <w:rPr>
      <w:rFonts w:asciiTheme="minorHAnsi" w:hAnsiTheme="minorHAnsi"/>
      <w:sz w:val="22"/>
      <w:szCs w:val="22"/>
    </w:rPr>
  </w:style>
  <w:style w:styleId="TM5" w:type="paragraph">
    <w:name w:val="toc 5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880"/>
      <w:jc w:val="left"/>
    </w:pPr>
    <w:rPr>
      <w:rFonts w:asciiTheme="minorHAnsi" w:hAnsiTheme="minorHAnsi"/>
      <w:sz w:val="22"/>
      <w:szCs w:val="22"/>
    </w:rPr>
  </w:style>
  <w:style w:styleId="TM6" w:type="paragraph">
    <w:name w:val="toc 6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100"/>
      <w:jc w:val="left"/>
    </w:pPr>
    <w:rPr>
      <w:rFonts w:asciiTheme="minorHAnsi" w:hAnsiTheme="minorHAnsi"/>
      <w:sz w:val="22"/>
      <w:szCs w:val="22"/>
    </w:rPr>
  </w:style>
  <w:style w:styleId="TM7" w:type="paragraph">
    <w:name w:val="toc 7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320"/>
      <w:jc w:val="left"/>
    </w:pPr>
    <w:rPr>
      <w:rFonts w:asciiTheme="minorHAnsi" w:hAnsiTheme="minorHAnsi"/>
      <w:sz w:val="22"/>
      <w:szCs w:val="22"/>
    </w:rPr>
  </w:style>
  <w:style w:styleId="TM8" w:type="paragraph">
    <w:name w:val="toc 8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540"/>
      <w:jc w:val="left"/>
    </w:pPr>
    <w:rPr>
      <w:rFonts w:asciiTheme="minorHAnsi" w:hAnsiTheme="minorHAnsi"/>
      <w:sz w:val="22"/>
      <w:szCs w:val="22"/>
    </w:rPr>
  </w:style>
  <w:style w:styleId="TM9" w:type="paragraph">
    <w:name w:val="toc 9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760"/>
      <w:jc w:val="left"/>
    </w:pPr>
    <w:rPr>
      <w:rFonts w:asciiTheme="minorHAnsi" w:hAnsiTheme="minorHAnsi"/>
      <w:sz w:val="22"/>
      <w:szCs w:val="22"/>
    </w:rPr>
  </w:style>
  <w:style w:styleId="Accentuationlgre" w:type="character">
    <w:name w:val="Subtle Emphasis"/>
    <w:basedOn w:val="Policepardfaut"/>
    <w:uiPriority w:val="19"/>
    <w:rsid w:val="00DB3F53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rsid w:val="00DB3F53"/>
    <w:rPr>
      <w:b/>
      <w:bCs/>
      <w:i/>
      <w:iCs/>
      <w:color w:themeColor="accent1" w:val="4F81BD"/>
    </w:rPr>
  </w:style>
  <w:style w:styleId="Citation" w:type="paragraph">
    <w:name w:val="Quote"/>
    <w:basedOn w:val="Normal"/>
    <w:next w:val="Normal"/>
    <w:link w:val="CitationCar"/>
    <w:uiPriority w:val="29"/>
    <w:rsid w:val="00DB3F53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DB3F53"/>
    <w:rPr>
      <w:rFonts w:ascii="Arial" w:hAnsi="Arial"/>
      <w:i/>
      <w:iCs/>
      <w:color w:themeColor="text1" w:val="000000"/>
    </w:rPr>
  </w:style>
  <w:style w:styleId="Citationintense" w:type="paragraph">
    <w:name w:val="Intense Quote"/>
    <w:basedOn w:val="Normal"/>
    <w:next w:val="Normal"/>
    <w:link w:val="CitationintenseCar"/>
    <w:uiPriority w:val="30"/>
    <w:rsid w:val="00DB3F53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DB3F53"/>
    <w:rPr>
      <w:rFonts w:ascii="Arial" w:hAnsi="Arial"/>
      <w:b/>
      <w:bCs/>
      <w:i/>
      <w:iCs/>
      <w:color w:themeColor="accent1" w:val="4F81BD"/>
    </w:rPr>
  </w:style>
  <w:style w:styleId="Rfrenceintense" w:type="character">
    <w:name w:val="Intense Reference"/>
    <w:basedOn w:val="Policepardfaut"/>
    <w:uiPriority w:val="32"/>
    <w:rsid w:val="00DB3F53"/>
    <w:rPr>
      <w:b/>
      <w:bCs/>
      <w:smallCaps/>
      <w:color w:themeColor="accent2" w:val="C0504D"/>
      <w:spacing w:val="5"/>
      <w:u w:val="single"/>
    </w:rPr>
  </w:style>
  <w:style w:customStyle="1" w:styleId="citationdecalee" w:type="paragraph">
    <w:name w:val="citation_decalee"/>
    <w:basedOn w:val="Normal"/>
    <w:qFormat/>
    <w:rsid w:val="00DF0060"/>
    <w:pPr>
      <w:pBdr>
        <w:left w:color="9D1C69" w:space="4" w:sz="12" w:val="single"/>
      </w:pBdr>
      <w:ind w:left="709" w:right="1269"/>
      <w:contextualSpacing/>
    </w:pPr>
    <w:rPr>
      <w:rFonts w:ascii="Times New Roman" w:hAnsi="Times New Roman"/>
      <w:i/>
    </w:rPr>
  </w:style>
  <w:style w:styleId="Tabledesillustrations" w:type="paragraph">
    <w:name w:val="table of figures"/>
    <w:basedOn w:val="Normal"/>
    <w:next w:val="Normal"/>
    <w:uiPriority w:val="99"/>
    <w:unhideWhenUsed/>
    <w:rsid w:val="009C6337"/>
    <w:pPr>
      <w:spacing w:after="0"/>
      <w:ind w:hanging="1134" w:left="1134"/>
    </w:pPr>
  </w:style>
  <w:style w:styleId="Mentionnonrsolue" w:type="character">
    <w:name w:val="Unresolved Mention"/>
    <w:basedOn w:val="Policepardfaut"/>
    <w:uiPriority w:val="99"/>
    <w:semiHidden/>
    <w:unhideWhenUsed/>
    <w:rsid w:val="004107E7"/>
    <w:rPr>
      <w:color w:val="605E5C"/>
      <w:shd w:color="auto" w:fill="E1DFDD" w:val="clear"/>
    </w:rPr>
  </w:style>
  <w:style w:customStyle="1" w:styleId="styletableau" w:type="table">
    <w:name w:val="style_tableau"/>
    <w:basedOn w:val="Tableauclassique3"/>
    <w:uiPriority w:val="99"/>
    <w:rsid w:val="007E3D8D"/>
    <w:pPr>
      <w:jc w:val="center"/>
    </w:pPr>
    <w:rPr>
      <w:rFonts w:ascii="Arial" w:hAnsi="Arial"/>
      <w:color w:themeColor="text1" w:val="000000"/>
      <w:sz w:val="20"/>
      <w:szCs w:val="20"/>
    </w:rPr>
    <w:tblPr>
      <w:tblStyleRowBandSize w:val="1"/>
      <w:jc w:val="center"/>
      <w:tblBorders>
        <w:top w:color="1B4377" w:space="0" w:sz="4" w:val="single"/>
        <w:left w:color="1B4377" w:space="0" w:sz="4" w:val="single"/>
        <w:bottom w:color="1B4377" w:space="0" w:sz="4" w:val="single"/>
        <w:right w:color="1B4377" w:space="0" w:sz="4" w:val="single"/>
        <w:insideH w:color="1B4377" w:space="0" w:sz="4" w:val="single"/>
        <w:insideV w:color="1B4377" w:space="0" w:sz="4" w:val="single"/>
      </w:tblBorders>
    </w:tblPr>
    <w:trPr>
      <w:jc w:val="center"/>
    </w:trPr>
    <w:tcPr>
      <w:shd w:color="auto" w:fill="FFFFFF" w:themeFill="background1" w:val="clear"/>
      <w:vAlign w:val="center"/>
    </w:tcPr>
    <w:tblStylePr w:type="firstRow">
      <w:rPr>
        <w:rFonts w:ascii="Arial" w:hAnsi="Arial"/>
        <w:b/>
        <w:bCs/>
        <w:i w:val="0"/>
        <w:i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lastRow">
      <w:rPr>
        <w:rFonts w:ascii="Arial" w:hAnsi="Arial"/>
        <w:b/>
        <w:color w:themeColor="text1" w:val="000000"/>
        <w:sz w:val="24"/>
      </w:rPr>
      <w:tblPr/>
      <w:tcPr>
        <w:tcBorders>
          <w:top w:color="1B4377" w:space="0" w:sz="4" w:val="single"/>
          <w:left w:color="1B4377" w:space="0" w:sz="4" w:val="single"/>
          <w:bottom w:color="1B4377" w:space="0" w:sz="4" w:val="single"/>
          <w:right w:color="1B4377" w:space="0" w:sz="4" w:val="single"/>
          <w:insideH w:color="1B4377" w:space="0" w:sz="4" w:val="single"/>
          <w:insideV w:color="1B4377" w:space="0" w:sz="4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rFonts w:ascii="Arial" w:hAnsi="Arial"/>
        <w:b/>
        <w:b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band2Horz">
      <w:tblPr/>
      <w:tcPr>
        <w:shd w:color="auto" w:fill="D9D9D9" w:themeFill="background1" w:themeFillShade="D9" w:val="clear"/>
      </w:tcPr>
    </w:tblStylePr>
  </w:style>
  <w:style w:styleId="Tableauclassique3" w:type="table">
    <w:name w:val="Table Classic 3"/>
    <w:basedOn w:val="TableauNormal"/>
    <w:uiPriority w:val="99"/>
    <w:semiHidden/>
    <w:unhideWhenUsed/>
    <w:rsid w:val="00E82BB7"/>
    <w:pPr>
      <w:spacing w:after="120" w:before="120"/>
      <w:jc w:val="both"/>
    </w:pPr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112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487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18639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8002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14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3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25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3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971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7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504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84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8" Target="media/image1.jpeg" Type="http://schemas.openxmlformats.org/officeDocument/2006/relationships/image" /><Relationship Id="rId21" Target="media/image10.png" Type="http://schemas.openxmlformats.org/officeDocument/2006/relationships/image" /><Relationship Id="rId17" Target="media/image7.png" Type="http://schemas.openxmlformats.org/officeDocument/2006/relationships/image" /><Relationship Id="rId25" Target="footer1.xml" Type="http://schemas.openxmlformats.org/officeDocument/2006/relationships/footer" /><Relationship Id="rId16" Target="media/image6.emf" Type="http://schemas.openxmlformats.org/officeDocument/2006/relationships/image" /><Relationship Id="rId20" Target="media/image9.png" Type="http://schemas.openxmlformats.org/officeDocument/2006/relationships/image" /><Relationship Id="rId11" Target="media/image3.png" Type="http://schemas.openxmlformats.org/officeDocument/2006/relationships/image" /><Relationship Id="rId15" Target="media/image5.png" Type="http://schemas.openxmlformats.org/officeDocument/2006/relationships/image" /><Relationship Id="rId19" Target="media/image8.png" Type="http://schemas.openxmlformats.org/officeDocument/2006/relationships/image" /><Relationship Id="rId9" Target="media/image2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chazard_modele_these_medecine_2022.dotx</Template>
  <TotalTime>55</TotalTime>
  <Pages>26</Pages>
  <Words>4423</Words>
  <Characters>24331</Characters>
  <Application>Microsoft Office Word</Application>
  <DocSecurity>0</DocSecurity>
  <Lines>202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SARL CEFIMIS</Company>
  <LinksUpToDate>false</LinksUpToDate>
  <CharactersWithSpaces>28697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render tables</dc:title>
  <dc:creator/>
  <cp:keywords/>
  <dcterms:created xsi:type="dcterms:W3CDTF">2026-08-24T22:58:28Z</dcterms:created>
  <dcterms:modified xsi:type="dcterms:W3CDTF">2026-08-24T22:58:28Z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appearance">
    <vt:lpwstr>simple</vt:lpwstr>
  </property>
  <property fmtid="{D5CDD505-2E9C-101B-9397-08002B2CF9AE}" pid="4" name="colorlinks">
    <vt:lpwstr>True</vt:lpwstr>
  </property>
  <property fmtid="{D5CDD505-2E9C-101B-9397-08002B2CF9AE}" pid="5" name="crossref">
    <vt:lpwstr/>
  </property>
  <property fmtid="{D5CDD505-2E9C-101B-9397-08002B2CF9AE}" pid="6" name="fig-cap-location">
    <vt:lpwstr>bottom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4</vt:lpwstr>
  </property>
  <property fmtid="{D5CDD505-2E9C-101B-9397-08002B2CF9AE}" pid="13" name="revealjs-plugins">
    <vt:lpwstr/>
  </property>
  <property fmtid="{D5CDD505-2E9C-101B-9397-08002B2CF9AE}" pid="14" name="tbl-cap-location">
    <vt:lpwstr>top</vt:lpwstr>
  </property>
  <property fmtid="{D5CDD505-2E9C-101B-9397-08002B2CF9AE}" pid="15" name="toc-title">
    <vt:lpwstr/>
  </property>
</Properties>
</file>