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

<Relationships  xmlns="http://schemas.openxmlformats.org/package/2006/relationships">
<Relationship Id="rId1" Type="http://schemas.openxmlformats.org/officeDocument/2006/relationships/officeDocument" Target="word/document.xml"/>
<Relationship Id="rId4" Type="http://schemas.openxmlformats.org/officeDocument/2006/relationships/extended-properties" Target="docProps/app.xml"/>
<Relationship Id="rId3" Type="http://schemas.openxmlformats.org/package/2006/relationships/metadata/core-properties" Target="docProps/core.xml"/>
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240" w:line="240"/>
        <w:ind w:left="60" w:right="6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0"/>
          <w:szCs w:val="20"/>
          <w:color w:val="111111"/>
        </w:rPr>
        <w:t xml:space="preserve">Table 1. Caractéristiques des patients à l'inclusion, globalement et selon le protocole de chimiothérapie.</w:t>
      </w:r>
    </w:p>
    <w:tbl xmlns:w14="http://schemas.microsoft.com/office/word/2010/wordml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38" w:hRule="auto"/>
        </w:trPr>
        <w:tc>
          <w:tcPr>
            <w:gridSpan w:val="3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Protocole de chimiothérapie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 </w:t>
            </w:r>
          </w:p>
        </w:tc>
      </w:tr>
      <w:tr>
        <w:trPr>
          <w:trHeight w:val="902" w:hRule="auto"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Variable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DM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Total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br/>
            </w: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(N=103)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Adjuvant seul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br/>
            </w: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(n=53, 51,5%)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Péri-opératoire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br/>
            </w: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(n=50, 48,5%)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Centre, n (%)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0,060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CHU Nantes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25 (24,3)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16 (30,2)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9 (18,0)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CHD La Roche-sur-Yon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25 (24,3)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15 (28,3)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10 (20,0)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CHU Angers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36 (35,0)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12 (22,6)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24 (48,0)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CHU Lyon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17 (16,5)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10 (18,9)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7 (14,0)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Sexe,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Femme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47 (45,6)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20 (37,7)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27 (54,0)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Homme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56 (54,4)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33 (62,3)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23 (46,0)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Âge au diagnostic, années, médiane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65,3 (57,9—70,8)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66,1 (59,5—71,9)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63,5 (55,8—67,9)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Âge au diagnostic, années,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0,48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&lt;60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33 (32,0)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15 (28,3)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18 (36,0)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60-69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42 (40,8)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21 (39,6)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21 (42,0)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≥70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28 (27,2)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17 (32,1)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11 (22,0)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PS au diagnostic,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9/4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0,005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60 (66,7)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36 (81,8)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24 (52,2)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27 (30,0)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7 (15,9)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20 (43,5)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3 (3,3)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 (2,3)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 (4,3)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Douleur au diagnostic,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2/3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40 (40,8)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19 (37,3)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21 (44,7)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0,45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CA 19-9 au diagnostic, UI/L, médiane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23/23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82,0 (20,0—147,0)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79,0 (25,0—110,0)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90,0 (19,0—331,0)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0,33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CA 19-9 au diagnostic &gt;= 500 UI/L,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23/23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7 (12,3)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 (6,7)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5 (18,5)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Localisation tumorale,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0,46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Tête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79 (76,7)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38 (71,7)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41 (82,0)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Corps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13 (12,6)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8 (15,1)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5 (10,0)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Queue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11 (10,7)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7 (13,2)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4 (8,0)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IQR : intervalle interquartile ; DM : données manquantes par groupe.</w:t>
            </w:r>
          </w:p>
        </w:tc>
      </w:tr>
    </w:tbl>
    <w:p xmlns:w14="http://schemas.microsoft.com/office/word/2010/wordml">
      <w:pPr/>
      <w:r>
        <w:br w:type="page"/>
      </w:r>
    </w:p>
    <w:p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240" w:line="240"/>
        <w:ind w:left="60" w:right="6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0"/>
          <w:szCs w:val="20"/>
          <w:color w:val="111111"/>
        </w:rPr>
        <w:t xml:space="preserve">Table 2. Caractéristiques tumorales, prise en charge chirurgicale et récidive, globalement et selon le protocole de chimiothérapie.</w:t>
      </w:r>
    </w:p>
    <w:tbl xmlns:w14="http://schemas.microsoft.com/office/word/2010/wordml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38" w:hRule="auto"/>
        </w:trPr>
        <w:tc>
          <w:tcPr>
            <w:gridSpan w:val="3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Protocole de chimiothérapie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 </w:t>
            </w:r>
          </w:p>
        </w:tc>
      </w:tr>
      <w:tr>
        <w:trPr>
          <w:trHeight w:val="902" w:hRule="auto"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Variable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DM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Total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br/>
            </w: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(N=103)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Adjuvant seul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br/>
            </w: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(n=53, 51,5%)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Péri-opératoire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br/>
            </w: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(n=50, 48,5%)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Résécabilité, n (%)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333333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3/2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&lt;0,001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Résécable d'emblée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62 (63,3)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50 (100,0)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12 (25,0)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Borderline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19 (19,4)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19 (39,6)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Localement avancé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17 (17,3)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17 (35,4)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Stade T,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2/1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0,19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T1-T2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85 (85,0)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41 (80,4)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44 (89,8)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T3-T4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15 (15,0)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10 (19,6)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5 (10,2)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Stade N,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2/1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0,48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29 (29,0)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13 (25,5)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16 (32,7)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49 (49,0)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28 (54,9)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21 (42,9)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22 (22,0)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10 (19,6)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12 (24,5)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Durée d'hospitalisation, jours, médiane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3/2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16,0 (12,0—23,0)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16,5 (12,0—21,0)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15,0 (12,0—23,0)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Complication post-opératoire, n (%)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333333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2/3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0,68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Pas de complication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60 (61,2)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29 (56,9)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31 (66,0)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12 (12,2)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6 (11,8)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6 (12,8)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12 (12,2)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8 (15,7)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4 (8,5)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III-IV-V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14 (14,3)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8 (15,7)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6 (12,8)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Résection chirurgicale,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2/6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0,82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68 (71,6)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36 (70,6)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32 (72,7)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27 (28,4)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15 (29,4)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12 (27,3)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Type de récidive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Aucune,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46 (44,7)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27 (50,9)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19 (38,0)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0,19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Locale, n (%)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333333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29 (28,2)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13 (24,5)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16 (32,0)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0,40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Métastatique, n (%)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333333"/>
              </w:rPr>
              <w:t xml:space="preserve">3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39 (37,9)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20 (37,7)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19 (38,0)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0,98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IQR : intervalle interquartile ; DM : données manquantes par groupe.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4"/>
                <w:szCs w:val="14"/>
                <w:color w:val="333333"/>
              </w:rPr>
              <w:t xml:space="preserve">1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Selon les critères du National Comprehensive Cancer Network (NCCN).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4"/>
                <w:szCs w:val="14"/>
                <w:color w:val="333333"/>
              </w:rPr>
              <w:t xml:space="preserve">2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Selon la classification de Clavien-Dindo.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4"/>
                <w:szCs w:val="14"/>
                <w:color w:val="333333"/>
              </w:rPr>
              <w:t xml:space="preserve">3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Une récidive à la fois locale et métastatique est comptée dans les deux catégories.</w:t>
            </w:r>
          </w:p>
        </w:tc>
      </w:tr>
    </w:tbl>
    <w:p xmlns:w14="http://schemas.microsoft.com/office/word/2010/wordml">
      <w:pPr/>
      <w:r>
        <w:br w:type="page"/>
      </w:r>
    </w:p>
    <w:p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240" w:line="240"/>
        <w:ind w:left="60" w:right="6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0"/>
          <w:szCs w:val="20"/>
          <w:color w:val="111111"/>
        </w:rPr>
        <w:t xml:space="preserve">Table 3. Nombre de cures reçues, globalement et selon le protocole de chimiothérapie.</w:t>
      </w:r>
    </w:p>
    <w:tbl xmlns:w14="http://schemas.microsoft.com/office/word/2010/wordml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38" w:hRule="auto"/>
        </w:trPr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Protocole de chimiothérapie</w:t>
            </w:r>
          </w:p>
        </w:tc>
      </w:tr>
      <w:tr>
        <w:trPr>
          <w:trHeight w:val="902" w:hRule="auto"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Variable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Total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br/>
            </w: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(N=103)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Adjuvant seul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br/>
            </w: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(n=53, 51,5%)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Péri-opératoire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br/>
            </w: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(n=50, 48,5%)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Chimiothérapie d'induction, n (%)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333333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50 (100,0)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Nombre de cures, médiane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6,0 (5,0—9,0)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Chimiothérapie adjuvante, n (%)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333333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94 (91,3)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50 (94,3)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44 (88,0)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Nombre de cures, médiane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6,0 (5,0—12,0)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12,0 (10,0—12,0)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6,0 (4,0—6,0)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Nombre total de cures, médiane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12,0 (11,0—12,0)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12,0 (10,0—12,0)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12,0 (11,0—13,0)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Nombre total de cures &gt;= 12,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65 (63,1)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31 (58,5)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34 (68,0)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avec dose relative moyenne &gt;= 80 %, n (%)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333333"/>
              </w:rPr>
              <w:t xml:space="preserve">2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6 (5,8)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4 (7,5)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 (4,0)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IQR : intervalle interquartile.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4"/>
                <w:szCs w:val="14"/>
                <w:color w:val="333333"/>
              </w:rPr>
              <w:t xml:space="preserve">1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Nombre de patients ayant reçu au moins une cure.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4"/>
                <w:szCs w:val="14"/>
                <w:color w:val="333333"/>
              </w:rPr>
              <w:t xml:space="preserve">2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Sans réduction de dose de plus de 20 % à la dernière cure de chaque phase, sur aucune des trois molécules.</w:t>
            </w:r>
          </w:p>
        </w:tc>
      </w:tr>
    </w:tbl>
    <w:p xmlns:w14="http://schemas.microsoft.com/office/word/2010/wordml">
      <w:pPr/>
      <w:r>
        <w:br w:type="page"/>
      </w:r>
    </w:p>
    <w:p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240" w:line="240"/>
        <w:ind w:left="60" w:right="6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0"/>
          <w:szCs w:val="20"/>
          <w:color w:val="111111"/>
        </w:rPr>
        <w:t xml:space="preserve">Table 4. Doses reçues et adaptations de doses, globalement et selon le protocole de chimiothérapie.</w:t>
      </w:r>
    </w:p>
    <w:tbl xmlns:w14="http://schemas.microsoft.com/office/word/2010/wordml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38" w:hRule="auto"/>
        </w:trPr>
        <w:tc>
          <w:tcPr>
            <w:gridSpan w:val="3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Protocole de chimiothérapie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 </w:t>
            </w:r>
          </w:p>
        </w:tc>
      </w:tr>
      <w:tr>
        <w:trPr>
          <w:trHeight w:val="902" w:hRule="auto"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Variable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DM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Total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br/>
            </w: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(N=100)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Adjuvant seul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br/>
            </w: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(n=50, 50,0%)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Péri-opératoire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br/>
            </w: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(n=50, 50,0%)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Dernière dose reçue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5-FU, %, médiane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0/2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80,0 (75,0—100,0)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80,0 (75,0—100,0)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80,0 (75,0—100,0)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0,28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Irinotécan, %, médiane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0/2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70,0 (50,0—80,0)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70,0 (50,0—80,0)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70,0 (50,0—77,5)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0,54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Oxaliplatine, %, médiane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0/2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25,0 (0,0—70,0)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0,0 (0,0—75,0)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50,0 (0,0—70,0)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0,36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Adaptation de doses,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95 (95,0)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47 (94,0)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48 (96,0)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&gt;0,99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Pourcentage d'adaptation, n (%)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333333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0/2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Pas d'adaptation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4 (4,1)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3 (6,0)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 (2,1)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&lt;=20%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8 (8,2)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6 (12,0)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 (4,2)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&gt;20%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86 (87,8)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41 (82,0)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45 (93,8)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Adaptation de dose à C4, n (%)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333333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0/2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0,005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Non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6 (6,4)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4 (8,5)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 (4,3)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&lt;=20%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31 (33,0)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22 (46,8)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9 (19,1)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&gt;20%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57 (60,6)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21 (44,7)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36 (76,6)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Adaptation de dose à C8, n (%)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333333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0/2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0,084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Non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3 (4,8)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 (4,9)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 (4,5)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&lt;=20%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13 (20,6)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5 (12,2)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8 (36,4)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&gt;20%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47 (74,6)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34 (82,9)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13 (59,1)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Adaptation de dose à C12, n (%)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333333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0,32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Non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 (2,9)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 (3,2)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&lt;=20%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8 (22,9)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6 (19,4)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 (50,0)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&gt;20%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26 (74,3)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24 (77,4)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 (50,0)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Patients ayant reçu au moins une cure de chimiothérapie d'induction ou adjuvante (100 sur 103 patients inclus). IQR : intervalle interquartile ; DM : données manquantes par groupe.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4"/>
                <w:szCs w:val="14"/>
                <w:color w:val="333333"/>
              </w:rPr>
              <w:t xml:space="preserve">1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Adaptation maximale parmi les trois molécules, à la dernière cure.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4"/>
                <w:szCs w:val="14"/>
                <w:color w:val="333333"/>
              </w:rPr>
              <w:t xml:space="preserve">2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Cure atteinte par 96 patients.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4"/>
                <w:szCs w:val="14"/>
                <w:color w:val="333333"/>
              </w:rPr>
              <w:t xml:space="preserve">3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Cure atteinte par 65 patients.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4"/>
                <w:szCs w:val="14"/>
                <w:color w:val="333333"/>
              </w:rPr>
              <w:t xml:space="preserve">4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Cure atteinte par 35 patients.</w:t>
            </w:r>
          </w:p>
        </w:tc>
      </w:tr>
    </w:tbl>
    <w:p xmlns:w14="http://schemas.microsoft.com/office/word/2010/wordml">
      <w:pPr/>
      <w:r>
        <w:br w:type="page"/>
      </w:r>
    </w:p>
    <w:p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240" w:line="240"/>
        <w:ind w:left="60" w:right="6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0"/>
          <w:szCs w:val="20"/>
          <w:color w:val="111111"/>
        </w:rPr>
        <w:t xml:space="preserve">Table 5. Toxicité chimio-induite de grade III-IV, globalement et selon le protocole de chimiothérapie.</w:t>
      </w:r>
    </w:p>
    <w:tbl xmlns:w14="http://schemas.microsoft.com/office/word/2010/wordml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38" w:hRule="auto"/>
        </w:trPr>
        <w:tc>
          <w:tcPr>
            <w:gridSpan w:val="3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Protocole de chimiothérapie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 </w:t>
            </w:r>
          </w:p>
        </w:tc>
      </w:tr>
      <w:tr>
        <w:trPr>
          <w:trHeight w:val="902" w:hRule="auto"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Variable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DM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Total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br/>
            </w: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(N=100)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Adjuvant seul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br/>
            </w: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(n=50, 50,0%)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Péri-opératoire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br/>
            </w: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(n=50, 50,0%)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Toxicité de grade III-IV, n (%)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333333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0/2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32 (32,7)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20 (40,0)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12 (25,0)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0,11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Nausées/vomissement,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0/2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13 (13,3)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8 (16,0)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5 (10,4)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Neurotoxicité,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0/2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12 (12,2)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6 (12,0)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6 (12,5)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0,94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Diarrhée,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0/2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10 (10,2)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9 (18,0)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 (2,1)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0,016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Asthénie,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0/2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6 (6,1)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4 (8,0)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 (4,2)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0,68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Neutropénie,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0/2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5 (5,1)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4 (8,0)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 (2,1)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0,36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Cytolyse/cholestase, n (%)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1/2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 (1,0)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 (2,1)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0,49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Patients ayant reçu au moins une cure de chimiothérapie d'induction ou adjuvante (100 sur 103 patients inclus). DM : données manquantes par groupe.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4"/>
                <w:szCs w:val="14"/>
                <w:color w:val="333333"/>
              </w:rPr>
              <w:t xml:space="preserve">1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Selon la Common Terminology Criteria for Adverse Events (CTCAE) v5.0.</w:t>
            </w:r>
          </w:p>
        </w:tc>
      </w:tr>
    </w:tbl>
    <w:p xmlns:w14="http://schemas.microsoft.com/office/word/2010/wordml">
      <w:pPr/>
      <w:r>
        <w:br w:type="page"/>
      </w:r>
    </w:p>
    <w:p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240" w:line="240"/>
        <w:ind w:left="60" w:right="6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0"/>
          <w:szCs w:val="20"/>
          <w:color w:val="111111"/>
        </w:rPr>
        <w:t xml:space="preserve">Table 6. Facteurs associés au nombre total de cures reçues.</w:t>
      </w:r>
    </w:p>
    <w:tbl xmlns:w14="http://schemas.microsoft.com/office/word/2010/wordml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3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 </w:t>
            </w:r>
          </w:p>
        </w:tc>
        <w:tc>
          <w:tcPr>
            <w:gridSpan w:val="3"/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Analyse univariable</w:t>
            </w:r>
          </w:p>
        </w:tc>
        <w:tc>
          <w:tcPr>
            <w:gridSpan w:val="3"/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Analyse multivariable</w:t>
            </w:r>
          </w:p>
        </w:tc>
      </w:tr>
      <w:tr>
        <w:trPr>
          <w:trHeight w:val="638" w:hRule="auto"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Variable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N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RM [IC95%]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p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N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aRM [IC95%]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p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333333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Protocole de chimiothérapie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0,004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0,008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Adjuvant seul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Référence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Référence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Péri-opératoire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1,21 [1,06 ; 1,38]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1,22 [1,05 ; 1,41]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Centre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0,052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CHU Nantes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Référence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Référence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CHD La Roche-sur-Yon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1,24 [1,02 ; 1,51]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1,24 [1,01 ; 1,53]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CHU Angers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1,20 [1,00 ; 1,44]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1,11 [0,91 ; 1,35]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CHU Lyon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1,21 [0,97 ; 1,50]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1,35 [1,06 ; 1,72]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Âge au diagnostic, années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333333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0,96 [0,92 ; 0,99]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0,95 [0,91 ; 0,99]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0,010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Résection chirurgicale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Référence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Référence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0,89 [0,76 ; 1,04]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0,94 [0,79 ; 1,12]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Complication post-opératoire majeure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333333"/>
              </w:rPr>
              <w:t xml:space="preserve">3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98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0,70 [0,55 ; 0,87]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0,001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91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0,73 [0,58 ; 0,91]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0,005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Le critère de jugement est le nombre total de cures de chimiothérapie reçues, toutes phases confondues, modélisé en comptage. RM : rapport du nombre moyen de cures ; aRM : rapport du nombre moyen de cures ajusté ; IC95% : intervalle de confiance à 95%.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4"/>
                <w:szCs w:val="14"/>
                <w:color w:val="333333"/>
              </w:rPr>
              <w:t xml:space="preserve">1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Modèle de régression de quasi-Poisson multivariable portant sur 91 observations complètes (12 observations supprimées pour cause de données manquantes).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4"/>
                <w:szCs w:val="14"/>
                <w:color w:val="333333"/>
              </w:rPr>
              <w:t xml:space="preserve">2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Incrémentation par tranches de 5 ans.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4"/>
                <w:szCs w:val="14"/>
                <w:color w:val="333333"/>
              </w:rPr>
              <w:t xml:space="preserve">3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Définie par un grade supérieur ou égal à III selon la classification de Clavien-Dindo.</w:t>
            </w:r>
          </w:p>
        </w:tc>
      </w:tr>
    </w:tbl>
    <w:p xmlns:w14="http://schemas.microsoft.com/office/word/2010/wordml">
      <w:pPr/>
      <w:r>
        <w:br w:type="page"/>
      </w:r>
    </w:p>
    <w:p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240" w:line="240"/>
        <w:ind w:left="60" w:right="6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0"/>
          <w:szCs w:val="20"/>
          <w:color w:val="111111"/>
        </w:rPr>
        <w:t xml:space="preserve">Table 7. Évènements.</w:t>
      </w:r>
    </w:p>
    <w:tbl xmlns:w14="http://schemas.microsoft.com/office/word/2010/wordml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38" w:hRule="auto"/>
        </w:trPr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Protocole de chimiothérapie</w:t>
            </w:r>
          </w:p>
        </w:tc>
      </w:tr>
      <w:tr>
        <w:trPr>
          <w:trHeight w:val="902" w:hRule="auto"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Variable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Total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br/>
            </w: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(N=103)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Adjuvant seul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br/>
            </w: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(n=53, 51,5%)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Péri-opératoire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br/>
            </w: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(n=50, 48,5%)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Décès toutes causes, n (%)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46 (44,7)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25 (47,2)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21 (42,0)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Premier évènement,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Récidive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56 (54,4)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25 (47,2)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31 (62,0)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Décès sans récidive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8 (7,8)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5 (9,4)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3 (6,0)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Censure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39 (37,9)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23 (43,4)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16 (32,0)</w:t>
            </w:r>
          </w:p>
        </w:tc>
      </w:tr>
    </w:tbl>
    <w:p xmlns:w14="http://schemas.microsoft.com/office/word/2010/wordml">
      <w:pPr/>
      <w:r>
        <w:br w:type="page"/>
      </w:r>
    </w:p>
    <w:p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240" w:line="240"/>
        <w:ind w:left="60" w:right="6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0"/>
          <w:szCs w:val="20"/>
          <w:color w:val="111111"/>
        </w:rPr>
        <w:t xml:space="preserve">Table 8. Estimations de la survie globale, globalement et selon le protocole de chimiothérapie.</w:t>
      </w:r>
    </w:p>
    <w:tbl xmlns:w14="http://schemas.microsoft.com/office/word/2010/wordml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3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Probabilité de survie globale, % [IC95%]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 </w:t>
            </w:r>
          </w:p>
        </w:tc>
      </w:tr>
      <w:tr>
        <w:trPr>
          <w:trHeight w:val="638" w:hRule="auto"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Caractéristique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12 mois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24 mois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36 mois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48 mois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p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333333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83,1 [76,1 ; 90,8]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62,8 [53,3 ; 74,1]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50,6 [40,1 ; 63,8]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29,7 [18,0 ; 49,0]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Protocole de chimiothérapie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0,95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999999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999999"/>
              </w:rPr>
              <w:t xml:space="preserve">Adjuvant seul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  <w:t xml:space="preserve">88,7 [80,5 ; 97,6]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  <w:t xml:space="preserve">65,7 [53,2 ; 81,2]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  <w:t xml:space="preserve">47,7 [34,2 ; 66,7]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  <w:t xml:space="preserve">31,8 [18,0 ; 56,3]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999999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999999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99FF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99FF"/>
              </w:rPr>
              <w:t xml:space="preserve">Péri-opératoire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99FF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99FF"/>
              </w:rPr>
              <w:t xml:space="preserve">77,7 [66,8 ; 90,2]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99FF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99FF"/>
              </w:rPr>
              <w:t xml:space="preserve">60,1 [46,5 ; 77,8]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99FF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99FF"/>
              </w:rPr>
              <w:t xml:space="preserve">55,5 [41,1 ; 75,0]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99FF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99FF"/>
              </w:rPr>
              <w:t xml:space="preserve">27,8 [11,8 ; 65,3]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0099FF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0099FF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Le critère de jugement est le délai entre la chirurgie et le décès toutes causes. Les patients sans évènement sont censurés à la date de point du centre. IC95% : intervalle de confiance à 95%.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4"/>
                <w:szCs w:val="14"/>
                <w:color w:val="333333"/>
              </w:rPr>
              <w:t xml:space="preserve">1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Test du log-rank</w:t>
            </w:r>
          </w:p>
        </w:tc>
      </w:tr>
    </w:tbl>
    <w:p xmlns:w14="http://schemas.microsoft.com/office/word/2010/wordml">
      <w:pPr/>
      <w:r>
        <w:br w:type="page"/>
      </w:r>
    </w:p>
    <w:p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240" w:line="240"/>
        <w:ind w:left="60" w:right="6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0"/>
          <w:szCs w:val="20"/>
          <w:color w:val="111111"/>
        </w:rPr>
        <w:t xml:space="preserve">Table 9. Facteurs associés à la survie globale.</w:t>
      </w:r>
    </w:p>
    <w:tbl xmlns:w14="http://schemas.microsoft.com/office/word/2010/wordml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3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 </w:t>
            </w:r>
          </w:p>
        </w:tc>
        <w:tc>
          <w:tcPr>
            <w:gridSpan w:val="3"/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Analyse univariable</w:t>
            </w:r>
          </w:p>
        </w:tc>
        <w:tc>
          <w:tcPr>
            <w:gridSpan w:val="3"/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Analyse multivariable</w:t>
            </w:r>
          </w:p>
        </w:tc>
      </w:tr>
      <w:tr>
        <w:trPr>
          <w:trHeight w:val="638" w:hRule="auto"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Variable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n/N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HR [IC95%]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p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n/N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aHR [IC95%]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p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333333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Protocole de chimiothérapie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0,95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0,43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Adjuvant seul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25/53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Référence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25/51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Référence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Péri-opératoire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21/50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0,98 [0,55 ; 1,76]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17/44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0,77 [0,40 ; 1,47]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Centre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CHU Nantes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14/25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Référence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CHD La Roche-sur-Yon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12/25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0,88 [0,41 ; 1,91]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CHU Angers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18/36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1,10 [0,54 ; 2,21]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CHU Lyon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2/17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0,35 [0,08 ; 1,53]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Âge au diagnostic, années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333333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46/103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1,10 [0,93 ; 1,31]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42/95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1,11 [0,93 ; 1,33]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Résection chirurgicale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28/68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Référence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28/68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Référence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14/27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1,29 [0,68 ; 2,45]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14/27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1,22 [0,62 ; 2,39]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Complication post-opératoire majeure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333333"/>
              </w:rPr>
              <w:t xml:space="preserve">3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43/98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4,88 [2,45 ; 9,71]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&lt;0,001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Le critère de jugement est le délai entre la chirurgie et le décès toutes causes. Les patients sans évènement sont censurés à la date de point du centre. Un hazard ratio &gt; 1 est en faveur d'un risque plus élevé de décès toutes causes comparé au groupe de référence. HR : hazard ratio ; aHR : hazard ratio ajusté ; n/N : nombre d'évènements/nombre total d'observations ; IC95% : intervalle de confiance à 95%.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4"/>
                <w:szCs w:val="14"/>
                <w:color w:val="333333"/>
              </w:rPr>
              <w:t xml:space="preserve">1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Modèle de régression de Cox multivariable stratifié sur le centre, incluant 42 évènements pour 95 observations complètes (8 observations supprimées pour cause de données manquantes).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4"/>
                <w:szCs w:val="14"/>
                <w:color w:val="333333"/>
              </w:rPr>
              <w:t xml:space="preserve">2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Incrémentation par tranches de 5 ans.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4"/>
                <w:szCs w:val="14"/>
                <w:color w:val="333333"/>
              </w:rPr>
              <w:t xml:space="preserve">3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Définie par un grade supérieur ou égal à III selon la classification de Clavien-Dindo.</w:t>
            </w:r>
          </w:p>
        </w:tc>
      </w:tr>
    </w:tbl>
    <w:p xmlns:w14="http://schemas.microsoft.com/office/word/2010/wordml">
      <w:pPr/>
      <w:r>
        <w:br w:type="page"/>
      </w:r>
    </w:p>
    <w:p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240" w:line="240"/>
        <w:ind w:left="60" w:right="6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0"/>
          <w:szCs w:val="20"/>
          <w:color w:val="111111"/>
        </w:rPr>
        <w:t xml:space="preserve">Table 10. Estimations de la survie sans récidive, globalement et selon le protocole de chimiothérapie.</w:t>
      </w:r>
    </w:p>
    <w:tbl xmlns:w14="http://schemas.microsoft.com/office/word/2010/wordml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3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Probabilité de survie sans récidive, % [IC95%]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 </w:t>
            </w:r>
          </w:p>
        </w:tc>
      </w:tr>
      <w:tr>
        <w:trPr>
          <w:trHeight w:val="638" w:hRule="auto"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Caractéristique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12 mois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24 mois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36 mois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48 mois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p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333333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63,0 [54,1 ; 73,2]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37,1 [28,1 ; 48,8]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24,7 [15,5 ; 39,3]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24,7 [15,5 ; 39,3]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Protocole de chimiothérapie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0,068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999999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999999"/>
              </w:rPr>
              <w:t xml:space="preserve">Adjuvant seul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  <w:t xml:space="preserve">72,4 [61,0 ; 85,9]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  <w:t xml:space="preserve">42,7 [30,3 ; 60,1]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  <w:t xml:space="preserve">29,1 [16,5 ; 51,4]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  <w:t xml:space="preserve">29,1 [16,5 ; 51,4]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999999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999999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99FF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99FF"/>
              </w:rPr>
              <w:t xml:space="preserve">Péri-opératoire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99FF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99FF"/>
              </w:rPr>
              <w:t xml:space="preserve">53,2 [40,9 ; 69,2]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99FF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99FF"/>
              </w:rPr>
              <w:t xml:space="preserve">31,5 [20,2 ; 49,3]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99FF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99FF"/>
              </w:rPr>
              <w:t xml:space="preserve">21,0 [10,2 ; 43,3]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99FF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99FF"/>
              </w:rPr>
              <w:t xml:space="preserve">21,0 [10,2 ; 43,3]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0099FF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0099FF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Le critère de jugement est le délai entre la chirurgie et la récidive ou le décès toutes causes. Les patients sans évènement sont censurés à la date de point du centre. IC95% : intervalle de confiance à 95%.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4"/>
                <w:szCs w:val="14"/>
                <w:color w:val="333333"/>
              </w:rPr>
              <w:t xml:space="preserve">1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Test du log-rank</w:t>
            </w:r>
          </w:p>
        </w:tc>
      </w:tr>
    </w:tbl>
    <w:p xmlns:w14="http://schemas.microsoft.com/office/word/2010/wordml">
      <w:pPr/>
      <w:r>
        <w:br w:type="page"/>
      </w:r>
    </w:p>
    <w:p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240" w:line="240"/>
        <w:ind w:left="60" w:right="6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0"/>
          <w:szCs w:val="20"/>
          <w:color w:val="111111"/>
        </w:rPr>
        <w:t xml:space="preserve">Table 11. Facteurs associés à la survie sans récidive.</w:t>
      </w:r>
    </w:p>
    <w:tbl xmlns:w14="http://schemas.microsoft.com/office/word/2010/wordml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3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 </w:t>
            </w:r>
          </w:p>
        </w:tc>
        <w:tc>
          <w:tcPr>
            <w:gridSpan w:val="3"/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Analyse univariable</w:t>
            </w:r>
          </w:p>
        </w:tc>
        <w:tc>
          <w:tcPr>
            <w:gridSpan w:val="3"/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Analyse multivariable</w:t>
            </w:r>
          </w:p>
        </w:tc>
      </w:tr>
      <w:tr>
        <w:trPr>
          <w:trHeight w:val="638" w:hRule="auto"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Variable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n/N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HR [IC95%]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p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n/N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aHR [IC95%]</w:t>
            </w:r>
          </w:p>
        </w:tc>
        <w:tc>
          <w:tcPr>
            <w:tcBorders>
              <w:bottom w:val="single" w:sz="8" w:space="0" w:color="333333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333333"/>
              </w:rPr>
              <w:t xml:space="preserve">p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333333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Protocole de chimiothérapie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0,070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Adjuvant seul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30/53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Référence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30/51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Référence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Péri-opératoire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34/50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1,58 [0,96 ; 2,59]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29/44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1,39 [0,82 ; 2,36]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Centre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CHU Nantes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18/25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Référence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CHD La Roche-sur-Yon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15/25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0,78 [0,39 ; 1,56]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CHU Angers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26/36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1,39 [0,76 ; 2,55]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CHU Lyon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5/17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0,53 [0,20 ; 1,42]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Âge au diagnostic, années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333333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64/103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1,03 [0,89 ; 1,19]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59/95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1,05 [0,90 ; 1,22]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0,53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Résection chirurgicale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41/68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Référence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41/68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Référence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18/27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1,10 [0,63 ; 1,92]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18/27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1,03 [0,57 ; 1,85]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Complication post-opératoire majeure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333333"/>
              </w:rPr>
              <w:t xml:space="preserve">3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60/98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3,05 [1,64 ; 5,69]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0,002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Le critère de jugement est le délai entre la chirurgie et la récidive ou le décès toutes causes. Les patients sans évènement sont censurés à la date de point du centre. Un hazard ratio &gt; 1 est en faveur d'un risque plus élevé de récidive ou décès toutes causes comparé au groupe de référence. HR : hazard ratio ; aHR : hazard ratio ajusté ; n/N : nombre d'évènements/nombre total d'observations ; IC95% : intervalle de confiance à 95%.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4"/>
                <w:szCs w:val="14"/>
                <w:color w:val="333333"/>
              </w:rPr>
              <w:t xml:space="preserve">1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Modèle de régression de Cox multivariable stratifié sur le centre, incluant 59 évènements pour 95 observations complètes (8 observations supprimées pour cause de données manquantes).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4"/>
                <w:szCs w:val="14"/>
                <w:color w:val="333333"/>
              </w:rPr>
              <w:t xml:space="preserve">2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Incrémentation par tranches de 5 ans.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vertAlign w:val="superscript"/>
                <w:sz w:val="14"/>
                <w:szCs w:val="14"/>
                <w:color w:val="333333"/>
              </w:rPr>
              <w:t xml:space="preserve">3</w:t>
            </w: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4"/>
                <w:szCs w:val="14"/>
                <w:color w:val="333333"/>
              </w:rPr>
              <w:t xml:space="preserve">Définie par un grade supérieur ou égal à III selon la classification de Clavien-Dindo.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1">
    <w:nsid w:val="696B7C68"/>
    <w:multiLevelType w:val="multilevel"/>
    <w:name w:val="hebstr-doc headings"/>
    <w:lvl w:ilvl="0">
      <w:start w:val="1"/>
      <w:numFmt w:val="none"/>
      <w:suff w:val="nothing"/>
      <w:lvlText w:val=""/>
      <w:lvlJc w:val="left"/>
      <w:pPr>
        <w:ind w:left="432" w:hanging="432"/>
      </w:pPr>
    </w:lvl>
    <w:lvl w:ilvl="1">
      <w:start w:val="1"/>
      <w:numFmt w:val="decimal"/>
      <w:pStyle w:val="Heading1"/>
      <w:lvlText w:val="%1%2"/>
      <w:lvlJc w:val="left"/>
      <w:pPr>
        <w:ind w:left="576" w:hanging="576"/>
      </w:pPr>
    </w:lvl>
    <w:lvl w:ilvl="2">
      <w:start w:val="1"/>
      <w:numFmt w:val="decimal"/>
      <w:pStyle w:val="Heading2"/>
      <w:lvlText w:val="%1%2.%3"/>
      <w:lvlJc w:val="left"/>
      <w:pPr>
        <w:ind w:left="720" w:hanging="720"/>
      </w:pPr>
    </w:lvl>
    <w:lvl w:ilvl="3">
      <w:start w:val="1"/>
      <w:numFmt w:val="decimal"/>
      <w:pStyle w:val="Heading3"/>
      <w:lvlText w:val="%1%2.%3.%4"/>
      <w:lvlJc w:val="left"/>
      <w:pPr>
        <w:ind w:left="864" w:hanging="864"/>
      </w:pPr>
    </w:lvl>
    <w:lvl w:ilvl="4">
      <w:start w:val="1"/>
      <w:numFmt w:val="decimal"/>
      <w:pStyle w:val="Heading4"/>
      <w:lvlText w:val="%1%2.%3.%4.%5"/>
      <w:lvlJc w:val="left"/>
      <w:pPr>
        <w:ind w:left="1008" w:hanging="1008"/>
      </w:pPr>
    </w:lvl>
    <w:lvl w:ilvl="5">
      <w:start w:val="1"/>
      <w:numFmt w:val="decimal"/>
      <w:pStyle w:val="Heading5"/>
      <w:lvlText w:val="%1%2.%3.%4.%5.%6"/>
      <w:lvlJc w:val="left"/>
      <w:pPr>
        <w:ind w:left="1152" w:hanging="1152"/>
      </w:pPr>
    </w:lvl>
    <w:lvl w:ilvl="6">
      <w:start w:val="1"/>
      <w:numFmt w:val="decimal"/>
      <w:pStyle w:val="Heading6"/>
      <w:lvlText w:val="%1%2.%3.%4.%5.%6.%7"/>
      <w:lvlJc w:val="left"/>
      <w:pPr>
        <w:ind w:left="1296" w:hanging="1296"/>
      </w:pPr>
    </w:lvl>
    <w:lvl w:ilvl="7">
      <w:start w:val="1"/>
      <w:numFmt w:val="decimal"/>
      <w:pStyle w:val="Heading7"/>
      <w:lvlText w:val="%1%2.%3.%4.%5.%6.%7.%8"/>
      <w:lvlJc w:val="left"/>
      <w:pPr>
        <w:ind w:left="1440" w:hanging="1440"/>
      </w:pPr>
    </w:lvl>
    <w:lvl w:ilvl="8">
      <w:start w:val="1"/>
      <w:numFmt w:val="decimal"/>
      <w:pStyle w:val="Heading8"/>
      <w:lvlText w:val="%1%2.%3.%4.%5.%6.%7.%8.%9"/>
      <w:lvlJc w:val="left"/>
      <w:pPr>
        <w:ind w:left="1584" w:hanging="1584"/>
      </w:pPr>
    </w:lvl>
  </w:abstractNum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1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xmlns:w="http://schemas.openxmlformats.org/wordprocessingml/2006/main" w:percent="100"/>
  <w:embedSystemFonts/>
  <w:proofState w:spelling="clean" w:grammar="clean"/>
  <w:stylePaneFormatFilter w:val="0004"/>
  <w:doNotTrackMoves/>
  <w:defaultTabStop xmlns:w="http://schemas.openxmlformats.org/wordprocessingml/2006/main" w:val="720"/>
  <w:autoHyphenation w:val="true"/>
  <w:hyphenationZone xmlns:w="http://schemas.openxmlformats.org/wordprocessingml/2006/main"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footnotePr>
    <w:footnote w:id="-1"/>
    <w:footnote w:id="0"/>
  </w:footnotePr>
  <w:compat xmlns:w="http://schemas.openxmlformats.org/wordprocessingml/2006/main">
    <w:compatSetting w:name="compatibilityMode" w:uri="http://schemas.microsoft.com/office/word" w:val="15"/>
  </w:compat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xmlns:w="http://schemas.openxmlformats.org/wordprocessingml/2006/main" w:val="."/>
  <w:listSeparator xmlns:w="http://schemas.openxmlformats.org/wordprocessingml/2006/main" w:val=","/>
  <w:evenAndOddHeaders xmlns:w="http://schemas.openxmlformats.org/wordprocessingml/2006/main" w:val="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uppressAutoHyphens/>
      <w:spacing w:before="120" w:after="120"/>
    </w:pPr>
  </w:style>
  <w:style w:type="paragraph" w:styleId="BodyText">
    <w:name w:val="Body Text"/>
    <w:basedOn w:val="Normal"/>
    <w:link w:val="BodyTextChar"/>
    <w:qFormat/>
    <w:pPr>
      <w:suppressAutoHyphens w:val="0"/>
      <w:spacing w:line="360" w:lineRule="auto"/>
      <w:jc w:val="both"/>
    </w:pPr>
    <w:rPr>
      <w:sz w:val="22"/>
      <w:szCs w:val="22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uppressAutoHyphens/>
      <w:spacing w:before="36" w:after="36"/>
      <w:jc w:val="left"/>
    </w:pPr>
  </w:style>
  <w:style w:type="paragraph" w:styleId="Title">
    <w:name w:val="Title"/>
    <w:basedOn w:val="Normal"/>
    <w:next w:val="BodyText"/>
    <w:link w:val="TitleChar"/>
    <w:qFormat/>
    <w:pPr>
      <w:spacing w:before="480" w:after="480"/>
      <w:contextualSpacing/>
      <w:jc w:val="center"/>
    </w:pPr>
    <w:rPr>
      <w:b/>
      <w:bCs/>
      <w:color w:val="1B4377"/>
      <w:spacing w:val="5"/>
      <w:kern w:val="28"/>
      <w:sz w:val="56"/>
      <w:szCs w:val="48"/>
    </w:rPr>
  </w:style>
  <w:style w:type="character" w:customStyle="1" w:styleId="TitleChar">
    <w:name w:val="Title Char"/>
    <w:basedOn w:val="DefaultParagraphFont"/>
    <w:link w:val="Title"/>
    <w:qFormat/>
    <w:rPr>
      <w:b/>
      <w:bCs/>
      <w:color w:val="1B4377"/>
      <w:spacing w:val="5"/>
      <w:kern w:val="28"/>
      <w:sz w:val="56"/>
      <w:szCs w:val="48"/>
    </w:rPr>
  </w:style>
  <w:style w:type="paragraph" w:styleId="Subtitle">
    <w:name w:val="Subtitle"/>
    <w:basedOn w:val="Title"/>
    <w:next w:val="BodyText"/>
    <w:link w:val="SubtitleChar"/>
    <w:qFormat/>
    <w:rPr>
      <w:b w:val="0"/>
      <w:bCs w:val="0"/>
      <w:spacing w:val="0"/>
      <w:kern w:val="0"/>
      <w:sz w:val="48"/>
      <w:szCs w:val="28"/>
    </w:rPr>
  </w:style>
  <w:style w:type="character" w:customStyle="1" w:styleId="SubtitleChar">
    <w:name w:val="Subtitle Char"/>
    <w:basedOn w:val="DefaultParagraphFont"/>
    <w:link w:val="Subtitle"/>
    <w:qFormat/>
    <w:rPr>
      <w:color w:val="1B4377"/>
      <w:sz w:val="48"/>
      <w:szCs w:val="28"/>
    </w:rPr>
  </w:style>
  <w:style w:type="paragraph" w:customStyle="1" w:styleId="Author">
    <w:name w:val="Author"/>
    <w:basedOn w:val="Normal"/>
    <w:next w:val="BodyText"/>
    <w:qFormat/>
    <w:pPr>
      <w:keepNext/>
      <w:keepLines/>
      <w:spacing w:after="60"/>
      <w:jc w:val="center"/>
    </w:pPr>
    <w:rPr>
      <w:b/>
      <w:bCs/>
      <w:color w:val="111111"/>
      <w:sz w:val="32"/>
    </w:rPr>
  </w:style>
  <w:style w:type="paragraph" w:styleId="Date">
    <w:name w:val="Date"/>
    <w:basedOn w:val="Normal"/>
    <w:next w:val="BodyText"/>
    <w:qFormat/>
    <w:pPr>
      <w:keepNext/>
      <w:keepLines/>
      <w:spacing w:after="60"/>
      <w:jc w:val="center"/>
    </w:pPr>
    <w:rPr>
      <w:bCs/>
      <w:color w:val="111111"/>
      <w:sz w:val="32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tabs>
        <w:tab w:val="left" w:pos="709"/>
      </w:tabs>
      <w:spacing w:after="0"/>
      <w:ind w:left="709" w:hanging="709"/>
    </w:pPr>
  </w:style>
  <w:style w:type="paragraph" w:styleId="Heading1">
    <w:name w:val="heading 1"/>
    <w:basedOn w:val="Normal"/>
    <w:next w:val="BodyText"/>
    <w:link w:val="Heading1Char"/>
    <w:qFormat/>
    <w:pPr>
      <w:keepNext/>
      <w:keepLines/>
      <w:numPr>
        <w:ilvl w:val="1"/>
        <w:numId w:val="1"/>
      </w:numPr>
      <w:spacing w:before="480" w:after="320"/>
      <w:outlineLvl w:val="0"/>
    </w:pPr>
    <w:rPr>
      <w:b/>
      <w:bCs/>
      <w:color w:val="1B4377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pPr>
      <w:keepNext/>
      <w:keepLines/>
      <w:numPr>
        <w:ilvl w:val="2"/>
        <w:numId w:val="1"/>
      </w:numPr>
      <w:spacing w:before="240" w:after="240"/>
      <w:outlineLvl w:val="1"/>
    </w:pPr>
    <w:rPr>
      <w:b/>
      <w:bCs/>
      <w:color w:val="1B4377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pPr>
      <w:keepNext/>
      <w:keepLines/>
      <w:numPr>
        <w:ilvl w:val="3"/>
        <w:numId w:val="1"/>
      </w:numPr>
      <w:spacing w:before="200" w:after="200"/>
      <w:ind w:left="862" w:hanging="862"/>
      <w:outlineLvl w:val="2"/>
    </w:pPr>
    <w:rPr>
      <w:b/>
      <w:bCs/>
      <w:color w:val="1B4377"/>
      <w:sz w:val="26"/>
      <w:szCs w:val="26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pPr>
      <w:keepNext/>
      <w:keepLines/>
      <w:numPr>
        <w:ilvl w:val="4"/>
        <w:numId w:val="1"/>
      </w:numPr>
      <w:spacing w:before="160" w:after="160"/>
      <w:ind w:left="1009" w:hanging="1009"/>
      <w:outlineLvl w:val="3"/>
    </w:pPr>
    <w:rPr>
      <w:b/>
      <w:bCs/>
      <w:iCs/>
      <w:color w:val="1B4377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pPr>
      <w:keepNext/>
      <w:keepLines/>
      <w:numPr>
        <w:ilvl w:val="5"/>
        <w:numId w:val="1"/>
      </w:numPr>
      <w:spacing w:before="200" w:after="0"/>
      <w:outlineLvl w:val="4"/>
    </w:pPr>
    <w:rPr>
      <w:color w:val="1B4377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pPr>
      <w:keepNext/>
      <w:keepLines/>
      <w:numPr>
        <w:ilvl w:val="6"/>
        <w:numId w:val="1"/>
      </w:numPr>
      <w:spacing w:before="200" w:after="0"/>
      <w:outlineLvl w:val="5"/>
    </w:pPr>
    <w:rPr>
      <w:i/>
      <w:iCs/>
      <w:color w:val="1B4377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pPr>
      <w:keepNext/>
      <w:keepLines/>
      <w:numPr>
        <w:ilvl w:val="7"/>
        <w:numId w:val="1"/>
      </w:numPr>
      <w:spacing w:before="200" w:after="0"/>
      <w:outlineLvl w:val="6"/>
    </w:pPr>
    <w:rPr>
      <w:i/>
      <w:iCs/>
      <w:color w:val="40404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pPr>
      <w:keepNext/>
      <w:keepLines/>
      <w:numPr>
        <w:ilvl w:val="8"/>
        <w:numId w:val="1"/>
      </w:numPr>
      <w:spacing w:before="200" w:after="0"/>
      <w:outlineLvl w:val="7"/>
    </w:pPr>
    <w:rPr>
      <w:color w:val="404040"/>
      <w:sz w:val="20"/>
      <w:szCs w:val="2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i/>
      <w:iCs/>
      <w:color w:val="404040"/>
      <w:sz w:val="20"/>
      <w:szCs w:val="20"/>
    </w:rPr>
  </w:style>
  <w:style w:type="character" w:customStyle="1" w:styleId="Heading1Char">
    <w:name w:val="Heading 1 Char"/>
    <w:basedOn w:val="DefaultParagraphFont"/>
    <w:link w:val="Heading1"/>
    <w:qFormat/>
    <w:rPr>
      <w:b/>
      <w:bCs/>
      <w:color w:val="1B4377"/>
      <w:sz w:val="32"/>
      <w:szCs w:val="32"/>
    </w:rPr>
  </w:style>
  <w:style w:type="character" w:customStyle="1" w:styleId="Heading2Char">
    <w:name w:val="Heading 2 Char"/>
    <w:basedOn w:val="DefaultParagraphFont"/>
    <w:link w:val="Heading2"/>
    <w:qFormat/>
    <w:rPr>
      <w:b/>
      <w:bCs/>
      <w:color w:val="1B4377"/>
      <w:sz w:val="28"/>
      <w:szCs w:val="28"/>
    </w:rPr>
  </w:style>
  <w:style w:type="character" w:customStyle="1" w:styleId="Heading3Char">
    <w:name w:val="Heading 3 Char"/>
    <w:basedOn w:val="DefaultParagraphFont"/>
    <w:link w:val="Heading3"/>
    <w:qFormat/>
    <w:rPr>
      <w:b/>
      <w:bCs/>
      <w:color w:val="1B4377"/>
      <w:sz w:val="26"/>
      <w:szCs w:val="26"/>
    </w:rPr>
  </w:style>
  <w:style w:type="character" w:customStyle="1" w:styleId="Heading4Char">
    <w:name w:val="Heading 4 Char"/>
    <w:basedOn w:val="DefaultParagraphFont"/>
    <w:link w:val="Heading4"/>
    <w:qFormat/>
    <w:rPr>
      <w:b/>
      <w:bCs/>
      <w:iCs/>
      <w:color w:val="1B4377"/>
    </w:rPr>
  </w:style>
  <w:style w:type="character" w:customStyle="1" w:styleId="Heading5Char">
    <w:name w:val="Heading 5 Char"/>
    <w:basedOn w:val="DefaultParagraphFont"/>
    <w:link w:val="Heading5"/>
    <w:qFormat/>
    <w:rPr>
      <w:color w:val="1B4377"/>
    </w:rPr>
  </w:style>
  <w:style w:type="character" w:customStyle="1" w:styleId="Heading6Char">
    <w:name w:val="Heading 6 Char"/>
    <w:basedOn w:val="DefaultParagraphFont"/>
    <w:link w:val="Heading6"/>
    <w:qFormat/>
    <w:rPr>
      <w:i/>
      <w:iCs/>
      <w:color w:val="1B4377"/>
    </w:rPr>
  </w:style>
  <w:style w:type="character" w:customStyle="1" w:styleId="Heading7Char">
    <w:name w:val="Heading 7 Char"/>
    <w:basedOn w:val="DefaultParagraphFont"/>
    <w:link w:val="Heading7"/>
    <w:qFormat/>
    <w:rPr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qFormat/>
    <w:rPr>
      <w:color w:val="404040"/>
      <w:sz w:val="20"/>
      <w:szCs w:val="20"/>
    </w:rPr>
  </w:style>
  <w:style w:type="character" w:customStyle="1" w:styleId="Heading9Char">
    <w:name w:val="Heading 9 Char"/>
    <w:basedOn w:val="DefaultParagraphFont"/>
    <w:link w:val="Heading9"/>
    <w:qFormat/>
    <w:rPr>
      <w:i/>
      <w:iCs/>
      <w:color w:val="404040"/>
      <w:sz w:val="20"/>
      <w:szCs w:val="20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qFormat/>
    <w:pPr>
      <w:spacing w:before="0" w:after="0"/>
      <w:jc w:val="left"/>
    </w:pPr>
    <w:rPr>
      <w:sz w:val="20"/>
      <w:szCs w:val="2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qFormat/>
    <w:rPr>
      <w:b/>
      <w:bCs/>
      <w:color w:val="111111"/>
      <w:sz w:val="20"/>
      <w:szCs w:val="20"/>
    </w:rPr>
  </w:style>
  <w:style w:type="paragraph" w:customStyle="1" w:styleId="TableCaption">
    <w:name w:val="Table Caption"/>
    <w:basedOn w:val="Caption"/>
    <w:qFormat/>
    <w:pPr>
      <w:keepNext/>
      <w:spacing w:before="240" w:after="240"/>
      <w:jc w:val="center"/>
    </w:pPr>
  </w:style>
  <w:style w:type="paragraph" w:customStyle="1" w:styleId="ImageCaption">
    <w:name w:val="Image Caption"/>
    <w:basedOn w:val="Caption"/>
    <w:qFormat/>
  </w:style>
  <w:style w:type="paragraph" w:customStyle="1" w:styleId="Figure">
    <w:name w:val="Figure"/>
    <w:basedOn w:val="Normal"/>
    <w:qFormat/>
    <w:pPr>
      <w:jc w:val="center"/>
    </w:pPr>
  </w:style>
  <w:style w:type="paragraph" w:customStyle="1" w:styleId="CaptionedFigure">
    <w:name w:val="Captioned Figure"/>
    <w:basedOn w:val="Figure"/>
    <w:qFormat/>
    <w:pPr>
      <w:keepNext/>
      <w:spacing w:before="240" w:after="240"/>
    </w:pPr>
  </w:style>
  <w:style w:type="character" w:customStyle="1" w:styleId="BodyTextChar">
    <w:name w:val="Body Text Char"/>
    <w:basedOn w:val="DefaultParagraphFont"/>
    <w:link w:val="BodyText"/>
    <w:qFormat/>
    <w:rPr>
      <w:sz w:val="22"/>
      <w:szCs w:val="22"/>
    </w:rPr>
  </w:style>
  <w:style w:type="character" w:customStyle="1" w:styleId="VerbatimChar">
    <w:name w:val="Verbatim Char"/>
    <w:basedOn w:val="BodyTextChar"/>
    <w:qFormat/>
    <w:rPr>
      <w:rFonts w:ascii="Consolas" w:hAnsi="Consolas"/>
      <w:sz w:val="20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pageBreakBefore/>
      <w:numPr>
        <w:ilvl w:val="0"/>
        <w:numId w:val="0"/>
      </w:numPr>
      <w:spacing w:before="0" w:after="240"/>
      <w:jc w:val="center"/>
      <w:outlineLvl w:val="9"/>
    </w:pPr>
  </w:style>
  <w:style w:type="paragraph" w:customStyle="1" w:styleId="TableCaptionTitle">
    <w:name w:val="Table Caption Title"/>
    <w:basedOn w:val="TableCaption"/>
    <w:qFormat/>
    <w:pPr>
      <w:keepNext/>
      <w:spacing w:after="0"/>
    </w:pPr>
  </w:style>
  <w:style w:type="paragraph" w:customStyle="1" w:styleId="TableCaptionSubtitle">
    <w:name w:val="Table Caption Subtitle"/>
    <w:basedOn w:val="TableCaption"/>
    <w:qFormat/>
    <w:pPr>
      <w:spacing w:before="0"/>
    </w:pPr>
    <w:rPr>
      <w:b w:val="0"/>
      <w:bCs w:val="0"/>
      <w:color w:val="555555"/>
      <w:sz w:val="18"/>
      <w:szCs w:val="18"/>
    </w:rPr>
  </w:style>
  <w:style w:type="paragraph" w:customStyle="1" w:styleId="ImageCaptionTitle">
    <w:name w:val="Image Caption Title"/>
    <w:basedOn w:val="ImageCaption"/>
    <w:qFormat/>
    <w:pPr>
      <w:keepNext/>
      <w:spacing w:after="0"/>
    </w:pPr>
  </w:style>
  <w:style w:type="paragraph" w:customStyle="1" w:styleId="ImageCaptionSubtitle">
    <w:name w:val="Image Caption Subtitle"/>
    <w:basedOn w:val="ImageCaption"/>
    <w:qFormat/>
    <w:pPr>
      <w:spacing w:before="0"/>
    </w:pPr>
    <w:rPr>
      <w:b w:val="0"/>
      <w:bCs w:val="0"/>
      <w:color w:val="555555"/>
      <w:sz w:val="18"/>
      <w:szCs w:val="18"/>
    </w:rPr>
  </w:style>
  <w:style w:type="paragraph" w:styleId="Footer">
    <w:name w:val="footer"/>
    <w:basedOn w:val="Normal"/>
    <w:uiPriority w:val="99"/>
    <w:unhideWhenUsed/>
    <w:qFormat/>
    <w:pPr>
      <w:spacing w:before="0" w:after="0"/>
      <w:jc w:val="center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qFormat/>
    <w:pPr>
      <w:tabs>
        <w:tab w:val="left" w:pos="480"/>
        <w:tab w:val="right" w:leader="dot" w:pos="9056"/>
      </w:tabs>
      <w:spacing w:before="40" w:after="40"/>
    </w:pPr>
    <w:rPr>
      <w:b/>
      <w:noProof/>
      <w:sz w:val="22"/>
    </w:rPr>
  </w:style>
  <w:style w:type="paragraph" w:styleId="TOC2">
    <w:name w:val="toc 2"/>
    <w:basedOn w:val="TOC1"/>
    <w:next w:val="Normal"/>
    <w:uiPriority w:val="39"/>
    <w:unhideWhenUsed/>
    <w:qFormat/>
    <w:pPr>
      <w:ind w:left="238"/>
    </w:pPr>
    <w:rPr>
      <w:b w:val="0"/>
      <w:sz w:val="20"/>
    </w:rPr>
  </w:style>
  <w:style w:type="paragraph" w:styleId="TOC3">
    <w:name w:val="toc 3"/>
    <w:basedOn w:val="TOC1"/>
    <w:next w:val="Normal"/>
    <w:uiPriority w:val="39"/>
    <w:unhideWhenUsed/>
    <w:qFormat/>
    <w:pPr>
      <w:ind w:left="482"/>
    </w:pPr>
    <w:rPr>
      <w:b w:val="0"/>
      <w:sz w:val="20"/>
    </w:rPr>
  </w:style>
  <w:style w:type="paragraph" w:styleId="TOC4">
    <w:name w:val="toc 4"/>
    <w:basedOn w:val="TOC1"/>
    <w:next w:val="Normal"/>
    <w:uiPriority w:val="39"/>
    <w:unhideWhenUsed/>
    <w:qFormat/>
    <w:pPr>
      <w:ind w:left="726"/>
    </w:pPr>
    <w:rPr>
      <w:b w:val="0"/>
      <w:sz w:val="20"/>
    </w:rPr>
  </w:style>
  <w:style w:type="paragraph" w:styleId="TOC5">
    <w:name w:val="toc 5"/>
    <w:basedOn w:val="TOC1"/>
    <w:next w:val="Normal"/>
    <w:uiPriority w:val="39"/>
    <w:unhideWhenUsed/>
    <w:qFormat/>
    <w:pPr>
      <w:ind w:left="970"/>
    </w:pPr>
    <w:rPr>
      <w:b w:val="0"/>
      <w:sz w:val="20"/>
    </w:rPr>
  </w:style>
  <w:style w:type="paragraph" w:styleId="TOC6">
    <w:name w:val="toc 6"/>
    <w:basedOn w:val="TOC1"/>
    <w:next w:val="Normal"/>
    <w:uiPriority w:val="39"/>
    <w:unhideWhenUsed/>
    <w:qFormat/>
    <w:pPr>
      <w:ind w:left="1214"/>
    </w:pPr>
    <w:rPr>
      <w:b w:val="0"/>
      <w:sz w:val="20"/>
    </w:rPr>
  </w:style>
  <w:style w:type="paragraph" w:styleId="TOC7">
    <w:name w:val="toc 7"/>
    <w:basedOn w:val="TOC1"/>
    <w:next w:val="Normal"/>
    <w:uiPriority w:val="39"/>
    <w:unhideWhenUsed/>
    <w:qFormat/>
    <w:pPr>
      <w:ind w:left="1458"/>
    </w:pPr>
    <w:rPr>
      <w:b w:val="0"/>
      <w:sz w:val="20"/>
    </w:rPr>
  </w:style>
  <w:style w:type="paragraph" w:styleId="TOC8">
    <w:name w:val="toc 8"/>
    <w:basedOn w:val="TOC1"/>
    <w:next w:val="Normal"/>
    <w:uiPriority w:val="39"/>
    <w:unhideWhenUsed/>
    <w:qFormat/>
    <w:pPr>
      <w:ind w:left="1702"/>
    </w:pPr>
    <w:rPr>
      <w:b w:val="0"/>
      <w:sz w:val="20"/>
    </w:rPr>
  </w:style>
  <w:style w:type="paragraph" w:styleId="TOC9">
    <w:name w:val="toc 9"/>
    <w:basedOn w:val="TOC1"/>
    <w:next w:val="Normal"/>
    <w:uiPriority w:val="39"/>
    <w:unhideWhenUsed/>
    <w:qFormat/>
    <w:pPr>
      <w:ind w:left="1946"/>
    </w:pPr>
    <w:rPr>
      <w:b w:val="0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

<Relationships  xmlns="http://schemas.openxmlformats.org/package/2006/relationships">
<Relationship Id="rId1" Type="http://schemas.openxmlformats.org/officeDocument/2006/relationships/numbering" Target="numbering.xml"/>
<Relationship Id="rId2" Type="http://schemas.openxmlformats.org/officeDocument/2006/relationships/styles" Target="styles.xml"/>
<Relationship Id="rId3" Type="http://schemas.openxmlformats.org/officeDocument/2006/relationships/settings" Target="settings.xml"/>
<Relationship Id="rId4" Type="http://schemas.openxmlformats.org/officeDocument/2006/relationships/webSettings" Target="webSettings.xml"/>
<Relationship Id="rId5" Type="http://schemas.openxmlformats.org/officeDocument/2006/relationships/fontTable" Target="fontTable.xml"/>
<Relationship Id="rId6" Type="http://schemas.openxmlformats.org/officeDocument/2006/relationships/theme" Target="theme/theme1.xml"/>
<Relationship Id="rId7" Type="http://schemas.openxmlformats.org/officeDocument/2006/relationships/footnotes" Target="footnotes.xml"/>
<Relationship Id="rId8" Type="http://schemas.openxmlformats.org/officeDocument/2006/relationships/comments" Target="comments.xml"/>
<Relationship Id="rId30" Type="http://schemas.openxmlformats.org/officeDocument/2006/relationships/hyperlink" Target="http://example.com" TargetMode="External"/>
<Relationship Id="rId9" Type="http://schemas.openxmlformats.org/officeDocument/2006/relationships/footer" Target="footer1.xml"/>
</Relationships>

</file>

<file path=word/_rels/footnotes.xml.rels><?xml version="1.0" encoding="UTF-8" standalone="yes"?>

<Relationships  xmlns="http://schemas.openxmlformats.org/package/2006/relationships">
<Relationship Id="rId30" Type="http://schemas.openxmlformats.org/officeDocument/2006/relationships/hyperlink" Target="http://example.com" TargetMode="Externa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>Title</dc:title>
  <dc:creator>Author</dc:creator>
  <cp:keywords/>
  <dcterms:created xsi:type="dcterms:W3CDTF">2017-12-27T05:22:50Z</dcterms:created>
  <dcterms:modified xsi:type="dcterms:W3CDTF">2026-09-17T13:13:25Z</dcterms:modified>
  <cp:lastModifiedBy>julien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