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1. Caractéristiques des patients à l'inclusion,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2. Caractéristiques tumorales, prise en charge chirurgicale et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3. Nombre de cures reçues,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d'induction,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adjuvante,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avec dose relative moyenne &gt;= 80 %,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4. Doses reçues et adaptations de doses,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Pourcentage d'adaptation,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C4,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C8,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C12,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4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35 patients.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5. Toxicité chimio-induite de grade III-IV,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Toxicité de grade III-IV,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Common Terminology Criteria for Adverse Events (CTCAE) v5.0.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6. Facteurs associés au nombre total de cures reçues.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7. Évènements.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8. Estimations de la survie globale,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9. Facteurs associés à la survie globale.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10. Estimations de la survie sans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11. Facteurs associés à la survie sans récidive.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2026-09-16T18:00:58Z</dcterms:modified>
  <cp:category/>
</cp:coreProperties>
</file>