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Épidémiologie</w:t>
      </w:r>
      <w:r>
        <w:rPr>
          <w:bCs/>
          <w:b/>
        </w:rPr>
        <w:t xml:space="preserve"> </w:t>
      </w:r>
      <w:r>
        <w:rPr>
          <w:bCs/>
          <w:b/>
        </w:rPr>
        <w:t xml:space="preserve">descriptive</w:t>
      </w:r>
    </w:p>
    <w:p>
      <w:pPr>
        <w:pStyle w:val="Date"/>
      </w:pPr>
      <w:r>
        <w:t xml:space="preserve">2024-02-23</w:t>
      </w:r>
    </w:p>
    <w:sdt>
      <w:sdtPr>
        <w:docPartObj>
          <w:docPartGallery w:val="Table of Contents"/>
          <w:docPartUnique/>
        </w:docPartObj>
      </w:sdtPr>
      <w:sdtContent>
        <w:p>
          <w:pPr>
            <w:pStyle w:val="TOCHeading"/>
          </w:pPr>
          <w:r>
            <w:t xml:space="preserve">Table</w:t>
          </w:r>
          <w:r>
            <w:t xml:space="preserve"> </w:t>
          </w:r>
          <w:r>
            <w:t xml:space="preserve">des</w:t>
          </w:r>
          <w:r>
            <w:t xml:space="preserve"> </w:t>
          </w:r>
          <w:r>
            <w:t xml:space="preserve">matières</w:t>
          </w:r>
        </w:p>
        <w:p>
          <w:r>
            <w:fldChar w:fldCharType="begin" w:dirty="true"/>
            <w:instrText xml:space="preserve">TOC \o "1-3" \h \z \u</w:instrText>
            <w:fldChar w:fldCharType="separate"/>
            <w:fldChar w:fldCharType="end"/>
          </w:r>
        </w:p>
      </w:sdtContent>
    </w:sdt>
    <w:bookmarkStart w:id="33" w:name="introduction"/>
    <w:p>
      <w:pPr>
        <w:pStyle w:val="Heading1"/>
      </w:pPr>
      <w:r>
        <w:t xml:space="preserve">Introduction</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1" name="Picture"/>
                  <a:graphic>
                    <a:graphicData uri="http://schemas.openxmlformats.org/drawingml/2006/picture">
                      <pic:pic>
                        <pic:nvPicPr>
                          <pic:cNvPr descr="/opt/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Cs/>
                <w:b/>
              </w:rPr>
              <w:t xml:space="preserve">ATTENTION</w:t>
            </w:r>
          </w:p>
          <w:p>
            <w:pPr>
              <w:pStyle w:val="BodyText"/>
            </w:pPr>
            <w:pPr>
              <w:spacing w:before="16" w:after="16"/>
            </w:pPr>
            <w:r>
              <w:rPr>
                <w:bCs/>
                <w:b/>
              </w:rPr>
              <w:t xml:space="preserve">!! Document en cours de rédaction et en attente de validation par les enseignants de santé publique !!</w:t>
            </w:r>
          </w:p>
        </w:tc>
      </w:tr>
    </w:tbl>
    <w:bookmarkStart w:id="23" w:name="la-santé"/>
    <w:p>
      <w:pPr>
        <w:pStyle w:val="Heading2"/>
      </w:pPr>
      <w:r>
        <w:t xml:space="preserve">La santé</w:t>
      </w:r>
    </w:p>
    <w:p>
      <w:pPr>
        <w:pStyle w:val="BlockText"/>
      </w:pPr>
      <w:r>
        <w:t xml:space="preserve">« La santé est un état de complet bien-être physique, mental et social, et ne consiste pas seulement en une absence de maladie ou d’infirmité »</w:t>
      </w:r>
    </w:p>
    <w:p>
      <w:pPr>
        <w:numPr>
          <w:ilvl w:val="0"/>
          <w:numId w:val="1001"/>
        </w:numPr>
        <w:pStyle w:val="Compact"/>
      </w:pPr>
      <w:r>
        <w:t xml:space="preserve">Préambule de la constitution de l’OMS 1946</w:t>
      </w:r>
    </w:p>
    <w:bookmarkEnd w:id="23"/>
    <w:bookmarkStart w:id="32" w:name="lépidémiologie"/>
    <w:p>
      <w:pPr>
        <w:pStyle w:val="Heading2"/>
      </w:pPr>
      <w:r>
        <w:t xml:space="preserve">L’épidémiologie</w:t>
      </w:r>
    </w:p>
    <w:p>
      <w:pPr>
        <w:pStyle w:val="FirstParagraph"/>
      </w:pPr>
      <w:r>
        <w:t xml:space="preserve">L’épidémiologie est étymologiquement composée de trois concepts : au-dessus/parmi (</w:t>
      </w:r>
      <w:r>
        <w:rPr>
          <w:iCs/>
          <w:i/>
        </w:rPr>
        <w:t xml:space="preserve">“</w:t>
      </w:r>
      <w:r>
        <w:rPr>
          <w:iCs/>
          <w:i/>
        </w:rPr>
        <w:t xml:space="preserve">epi</w:t>
      </w:r>
      <w:r>
        <w:rPr>
          <w:iCs/>
          <w:i/>
        </w:rPr>
        <w:t xml:space="preserve">”</w:t>
      </w:r>
      <w:r>
        <w:t xml:space="preserve">), peuple (</w:t>
      </w:r>
      <w:r>
        <w:t xml:space="preserve">“</w:t>
      </w:r>
      <w:r>
        <w:rPr>
          <w:iCs/>
          <w:i/>
        </w:rPr>
        <w:t xml:space="preserve">demos</w:t>
      </w:r>
      <w:r>
        <w:t xml:space="preserve">”</w:t>
      </w:r>
      <w:r>
        <w:t xml:space="preserve">) et discours/connaissance (</w:t>
      </w:r>
      <w:r>
        <w:rPr>
          <w:iCs/>
          <w:i/>
        </w:rPr>
        <w:t xml:space="preserve">“</w:t>
      </w:r>
      <w:r>
        <w:rPr>
          <w:iCs/>
          <w:i/>
        </w:rPr>
        <w:t xml:space="preserve">logos</w:t>
      </w:r>
      <w:r>
        <w:rPr>
          <w:iCs/>
          <w:i/>
        </w:rPr>
        <w:t xml:space="preserve">”</w:t>
      </w:r>
      <w:r>
        <w:t xml:space="preserve">). Elle signifie donc par extrapolation</w:t>
      </w:r>
    </w:p>
    <w:p>
      <w:pPr>
        <w:pStyle w:val="BlockText"/>
      </w:pPr>
      <w:r>
        <w:rPr>
          <w:iCs/>
          <w:i/>
        </w:rPr>
        <w:t xml:space="preserve">” la science de ce qui affecte la population”</w:t>
      </w:r>
    </w:p>
    <w:p>
      <w:pPr>
        <w:pStyle w:val="FirstParagraph"/>
      </w:pPr>
      <w:r>
        <w:t xml:space="preserve">et était historiquement réservée à l’étude des maladies infectieuses (épidémies).</w:t>
      </w:r>
    </w:p>
    <w:p>
      <w:pPr>
        <w:pStyle w:val="BodyText"/>
      </w:pPr>
      <w:r>
        <w:t xml:space="preserve">Actuellement, l’épidémiologie étudie en pratique :</w:t>
      </w:r>
    </w:p>
    <w:p>
      <w:pPr>
        <w:numPr>
          <w:ilvl w:val="0"/>
          <w:numId w:val="1002"/>
        </w:numPr>
        <w:pStyle w:val="Compact"/>
      </w:pPr>
      <w:r>
        <w:t xml:space="preserve">La</w:t>
      </w:r>
      <w:r>
        <w:t xml:space="preserve"> </w:t>
      </w:r>
      <w:r>
        <w:t xml:space="preserve">distribution</w:t>
      </w:r>
      <w:r>
        <w:t xml:space="preserve"> </w:t>
      </w:r>
      <w:r>
        <w:t xml:space="preserve">d’un phénomène de santé dans une population humaine</w:t>
      </w:r>
    </w:p>
    <w:p>
      <w:pPr>
        <w:numPr>
          <w:ilvl w:val="0"/>
          <w:numId w:val="1002"/>
        </w:numPr>
        <w:pStyle w:val="Compact"/>
      </w:pPr>
      <w:r>
        <w:t xml:space="preserve">Et les</w:t>
      </w:r>
      <w:r>
        <w:t xml:space="preserve"> </w:t>
      </w:r>
      <w:r>
        <w:t xml:space="preserve">déterminants</w:t>
      </w:r>
      <w:r>
        <w:t xml:space="preserve"> </w:t>
      </w:r>
      <w:r>
        <w:t xml:space="preserve">de cette distribution (facteurs délétères, facteurs protecteurs)</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Cs/>
                <w:b/>
              </w:rPr>
              <w:t xml:space="preserve">Phénomène de santé = maladie ?</w:t>
            </w:r>
          </w:p>
          <w:p>
            <w:pPr>
              <w:pStyle w:val="BodyText"/>
            </w:pPr>
            <w:pPr>
              <w:spacing w:before="16" w:after="16"/>
            </w:pPr>
            <w:r>
              <w:t xml:space="preserve">Un phénomène de santé, ou état de santé, fait référence à</w:t>
            </w:r>
            <w:r>
              <w:t xml:space="preserve"> </w:t>
            </w:r>
            <w:r>
              <w:t xml:space="preserve">tout évènement</w:t>
            </w:r>
            <w:r>
              <w:t xml:space="preserve"> </w:t>
            </w:r>
            <w:r>
              <w:t xml:space="preserve">relatif à santé d’une personne ou d’une population. Il n’est donc</w:t>
            </w:r>
            <w:r>
              <w:t xml:space="preserve"> </w:t>
            </w:r>
            <w:r>
              <w:t xml:space="preserve">pas forcément synonyme de maladie</w:t>
            </w:r>
            <w:r>
              <w:t xml:space="preserve">. Ça peut être un symptôme, ou même la mort.</w:t>
            </w:r>
          </w:p>
        </w:tc>
      </w:tr>
    </w:tbl>
    <w:bookmarkStart w:id="30" w:name="pour-quoi"/>
    <w:p>
      <w:pPr>
        <w:pStyle w:val="Heading3"/>
      </w:pPr>
      <w:r>
        <w:rPr>
          <w:bCs/>
          <w:b/>
        </w:rPr>
        <w:t xml:space="preserve">Pour quoi ?</w:t>
      </w:r>
    </w:p>
    <w:p>
      <w:pPr>
        <w:numPr>
          <w:ilvl w:val="0"/>
          <w:numId w:val="1003"/>
        </w:numPr>
        <w:pStyle w:val="Compact"/>
      </w:pPr>
      <w:r>
        <w:t xml:space="preserve">Décrire</w:t>
      </w:r>
      <w:r>
        <w:t xml:space="preserve"> </w:t>
      </w:r>
      <w:r>
        <w:t xml:space="preserve">un phénomène de santé = Epidémiologie descriptive</w:t>
      </w:r>
    </w:p>
    <w:p>
      <w:pPr>
        <w:numPr>
          <w:ilvl w:val="1"/>
          <w:numId w:val="1004"/>
        </w:numPr>
        <w:pStyle w:val="Compact"/>
      </w:pPr>
      <w:r>
        <w:t xml:space="preserve">Caractériser une pathologie</w:t>
      </w:r>
    </w:p>
    <w:p>
      <w:pPr>
        <w:numPr>
          <w:ilvl w:val="0"/>
          <w:numId w:val="1003"/>
        </w:numPr>
        <w:pStyle w:val="Compact"/>
      </w:pPr>
      <w:r>
        <w:t xml:space="preserve">Comprendre</w:t>
      </w:r>
      <w:r>
        <w:t xml:space="preserve"> </w:t>
      </w:r>
      <w:r>
        <w:t xml:space="preserve">= Epidémiologie analytique</w:t>
      </w:r>
    </w:p>
    <w:p>
      <w:pPr>
        <w:numPr>
          <w:ilvl w:val="1"/>
          <w:numId w:val="1005"/>
        </w:numPr>
        <w:pStyle w:val="Compact"/>
      </w:pPr>
      <w:r>
        <w:t xml:space="preserve">Rechercher les déterminants de cette pathologie</w:t>
      </w:r>
    </w:p>
    <w:p>
      <w:pPr>
        <w:numPr>
          <w:ilvl w:val="0"/>
          <w:numId w:val="1003"/>
        </w:numPr>
        <w:pStyle w:val="Compact"/>
      </w:pPr>
      <w:r>
        <w:t xml:space="preserve">Evaluer</w:t>
      </w:r>
      <w:r>
        <w:t xml:space="preserve"> </w:t>
      </w:r>
      <w:r>
        <w:t xml:space="preserve">= Epidémiologie évaluative</w:t>
      </w:r>
    </w:p>
    <w:p>
      <w:pPr>
        <w:numPr>
          <w:ilvl w:val="1"/>
          <w:numId w:val="1006"/>
        </w:numPr>
        <w:pStyle w:val="Compact"/>
      </w:pPr>
      <w:r>
        <w:t xml:space="preserve">Mesurer l’impact d’une politique de santé</w:t>
      </w:r>
    </w:p>
    <w:p>
      <w:pPr>
        <w:pStyle w:val="FirstParagraph"/>
      </w:pPr>
      <w:r>
        <w:drawing>
          <wp:inline>
            <wp:extent cx="5334000" cy="2481275"/>
            <wp:effectExtent b="0" l="0" r="0" t="0"/>
            <wp:docPr descr="" title="" id="28" name="Picture"/>
            <a:graphic>
              <a:graphicData uri="http://schemas.openxmlformats.org/drawingml/2006/picture">
                <pic:pic>
                  <pic:nvPicPr>
                    <pic:cNvPr descr="img/quadri.png" id="29" name="Picture"/>
                    <pic:cNvPicPr>
                      <a:picLocks noChangeArrowheads="1" noChangeAspect="1"/>
                    </pic:cNvPicPr>
                  </pic:nvPicPr>
                  <pic:blipFill>
                    <a:blip r:embed="rId27"/>
                    <a:stretch>
                      <a:fillRect/>
                    </a:stretch>
                  </pic:blipFill>
                  <pic:spPr bwMode="auto">
                    <a:xfrm>
                      <a:off x="0" y="0"/>
                      <a:ext cx="5334000" cy="2481275"/>
                    </a:xfrm>
                    <a:prstGeom prst="rect">
                      <a:avLst/>
                    </a:prstGeom>
                    <a:noFill/>
                    <a:ln w="9525">
                      <a:noFill/>
                      <a:headEnd/>
                      <a:tailEnd/>
                    </a:ln>
                  </pic:spPr>
                </pic:pic>
              </a:graphicData>
            </a:graphic>
          </wp:inline>
        </w:drawing>
      </w:r>
    </w:p>
    <w:bookmarkEnd w:id="30"/>
    <w:bookmarkStart w:id="31" w:name="pour-qui"/>
    <w:p>
      <w:pPr>
        <w:pStyle w:val="Heading3"/>
      </w:pPr>
      <w:r>
        <w:rPr>
          <w:bCs/>
          <w:b/>
        </w:rPr>
        <w:t xml:space="preserve">Pour qui ?</w:t>
      </w:r>
    </w:p>
    <w:p>
      <w:pPr>
        <w:pStyle w:val="FirstParagraph"/>
      </w:pPr>
      <w:r>
        <w:t xml:space="preserve">Les professionnels de santé : mieux cibler les interventions: prévention, action, soins</w:t>
      </w:r>
    </w:p>
    <w:p>
      <w:pPr>
        <w:pStyle w:val="BodyText"/>
      </w:pPr>
      <w:r>
        <w:t xml:space="preserve">Les politiques et les administrations : décider (promotion de la santé, éducation à la santé)</w:t>
      </w:r>
    </w:p>
    <w:p>
      <w:pPr>
        <w:pStyle w:val="BodyText"/>
      </w:pPr>
      <w:r>
        <w:t xml:space="preserve">Les gestionnaires : planifier, allouer organiser</w:t>
      </w:r>
    </w:p>
    <w:p>
      <w:pPr>
        <w:pStyle w:val="BodyText"/>
      </w:pPr>
      <w:r>
        <w:t xml:space="preserve">Les usagers : savoir défendre leurs causes</w:t>
      </w:r>
    </w:p>
    <w:bookmarkEnd w:id="31"/>
    <w:bookmarkEnd w:id="32"/>
    <w:bookmarkEnd w:id="33"/>
    <w:bookmarkStart w:id="41" w:name="définitions"/>
    <w:p>
      <w:pPr>
        <w:pStyle w:val="Heading1"/>
      </w:pPr>
      <w:r>
        <w:t xml:space="preserve">1. Définitions</w:t>
      </w:r>
    </w:p>
    <w:bookmarkStart w:id="34" w:name="définitions-1"/>
    <w:p>
      <w:pPr>
        <w:pStyle w:val="Heading2"/>
      </w:pPr>
      <w:r>
        <w:t xml:space="preserve">1.1 Définitions</w:t>
      </w:r>
    </w:p>
    <w:p>
      <w:pPr>
        <w:pStyle w:val="FirstParagraph"/>
      </w:pPr>
      <w:r>
        <w:t xml:space="preserve">L’épidémiologie descriptive a pour objectif de</w:t>
      </w:r>
      <w:r>
        <w:t xml:space="preserve"> </w:t>
      </w:r>
      <w:r>
        <w:rPr>
          <w:bCs/>
          <w:b/>
        </w:rPr>
        <w:t xml:space="preserve">décrire</w:t>
      </w:r>
      <w:r>
        <w:t xml:space="preserve"> </w:t>
      </w:r>
      <w:r>
        <w:t xml:space="preserve">un problème de santé dans un groupe de personne ou une population :</w:t>
      </w:r>
    </w:p>
    <w:p>
      <w:pPr>
        <w:numPr>
          <w:ilvl w:val="0"/>
          <w:numId w:val="1007"/>
        </w:numPr>
        <w:pStyle w:val="Compact"/>
      </w:pPr>
      <w:r>
        <w:t xml:space="preserve">Fréquence</w:t>
      </w:r>
    </w:p>
    <w:p>
      <w:pPr>
        <w:numPr>
          <w:ilvl w:val="0"/>
          <w:numId w:val="1007"/>
        </w:numPr>
        <w:pStyle w:val="Compact"/>
      </w:pPr>
      <w:r>
        <w:t xml:space="preserve">Répartition</w:t>
      </w:r>
    </w:p>
    <w:p>
      <w:pPr>
        <w:numPr>
          <w:ilvl w:val="0"/>
          <w:numId w:val="1007"/>
        </w:numPr>
        <w:pStyle w:val="Compact"/>
      </w:pPr>
      <w:r>
        <w:t xml:space="preserve">Evolution</w:t>
      </w:r>
    </w:p>
    <w:p>
      <w:pPr>
        <w:numPr>
          <w:ilvl w:val="0"/>
          <w:numId w:val="1007"/>
        </w:numPr>
        <w:pStyle w:val="Compact"/>
      </w:pPr>
      <w:r>
        <w:t xml:space="preserve">Caractéristiques</w:t>
      </w:r>
    </w:p>
    <w:p>
      <w:pPr>
        <w:pStyle w:val="FirstParagraph"/>
      </w:pPr>
      <w:r>
        <w:t xml:space="preserve">Elle repose sur l’utilisation d’indicateurs de santé :</w:t>
      </w:r>
    </w:p>
    <w:p>
      <w:pPr>
        <w:numPr>
          <w:ilvl w:val="0"/>
          <w:numId w:val="1008"/>
        </w:numPr>
        <w:pStyle w:val="Compact"/>
      </w:pPr>
      <w:r>
        <w:t xml:space="preserve">Indicateurs de</w:t>
      </w:r>
      <w:r>
        <w:t xml:space="preserve"> </w:t>
      </w:r>
      <w:r>
        <w:rPr>
          <w:bCs/>
          <w:b/>
        </w:rPr>
        <w:t xml:space="preserve">morbidité</w:t>
      </w:r>
    </w:p>
    <w:p>
      <w:pPr>
        <w:numPr>
          <w:ilvl w:val="0"/>
          <w:numId w:val="1008"/>
        </w:numPr>
        <w:pStyle w:val="Compact"/>
      </w:pPr>
      <w:r>
        <w:t xml:space="preserve">Indicateurs de</w:t>
      </w:r>
      <w:r>
        <w:t xml:space="preserve"> </w:t>
      </w:r>
      <w:r>
        <w:rPr>
          <w:bCs/>
          <w:b/>
        </w:rPr>
        <w:t xml:space="preserve">mortalité</w:t>
      </w:r>
    </w:p>
    <w:bookmarkEnd w:id="34"/>
    <w:bookmarkStart w:id="39" w:name="objectifs"/>
    <w:p>
      <w:pPr>
        <w:pStyle w:val="Heading2"/>
      </w:pPr>
      <w:r>
        <w:t xml:space="preserve">1.2 Objectifs</w:t>
      </w:r>
    </w:p>
    <w:p>
      <w:pPr>
        <w:numPr>
          <w:ilvl w:val="0"/>
          <w:numId w:val="1009"/>
        </w:numPr>
        <w:pStyle w:val="Compact"/>
      </w:pPr>
      <w:r>
        <w:t xml:space="preserve">Surveillance et contrôle sanitaire</w:t>
      </w:r>
    </w:p>
    <w:p>
      <w:pPr>
        <w:numPr>
          <w:ilvl w:val="0"/>
          <w:numId w:val="1009"/>
        </w:numPr>
        <w:pStyle w:val="Compact"/>
      </w:pPr>
      <w:r>
        <w:t xml:space="preserve">Meilleure connaissance des besoins de prise en charge médicale des populations</w:t>
      </w:r>
    </w:p>
    <w:p>
      <w:pPr>
        <w:numPr>
          <w:ilvl w:val="0"/>
          <w:numId w:val="1009"/>
        </w:numPr>
        <w:pStyle w:val="Compact"/>
      </w:pPr>
      <w:r>
        <w:t xml:space="preserve">Evaluation d’une action de santé</w:t>
      </w:r>
    </w:p>
    <w:p>
      <w:pPr>
        <w:numPr>
          <w:ilvl w:val="0"/>
          <w:numId w:val="1009"/>
        </w:numPr>
        <w:pStyle w:val="Compact"/>
      </w:pPr>
      <w:r>
        <w:t xml:space="preserve">Formulation d’hypothèses dans la recherche étiologique :</w:t>
      </w:r>
    </w:p>
    <w:p>
      <w:pPr>
        <w:numPr>
          <w:ilvl w:val="1"/>
          <w:numId w:val="1010"/>
        </w:numPr>
        <w:pStyle w:val="Compact"/>
      </w:pPr>
      <w:r>
        <w:t xml:space="preserve">Variations dans le temps</w:t>
      </w:r>
    </w:p>
    <w:p>
      <w:pPr>
        <w:numPr>
          <w:ilvl w:val="1"/>
          <w:numId w:val="1010"/>
        </w:numPr>
        <w:pStyle w:val="Compact"/>
      </w:pPr>
      <w:r>
        <w:t xml:space="preserve">Variations géographiques</w:t>
      </w:r>
    </w:p>
    <w:bookmarkStart w:id="35" w:name="surveillance-et-contrôle-sanitaire"/>
    <w:p>
      <w:pPr>
        <w:pStyle w:val="Heading3"/>
      </w:pPr>
      <w:r>
        <w:t xml:space="preserve">1.2.1 Surveillance et contrôle sanitaire</w:t>
      </w:r>
    </w:p>
    <w:p>
      <w:pPr>
        <w:numPr>
          <w:ilvl w:val="0"/>
          <w:numId w:val="1011"/>
        </w:numPr>
        <w:pStyle w:val="Compact"/>
      </w:pPr>
      <w:r>
        <w:t xml:space="preserve">Surveillance et alerte</w:t>
      </w:r>
    </w:p>
    <w:p>
      <w:pPr>
        <w:numPr>
          <w:ilvl w:val="0"/>
          <w:numId w:val="1011"/>
        </w:numPr>
        <w:pStyle w:val="Compact"/>
      </w:pPr>
      <w:r>
        <w:t xml:space="preserve">Repérer les individus atteints de maladie pour mettre en place des mesures :</w:t>
      </w:r>
    </w:p>
    <w:p>
      <w:pPr>
        <w:numPr>
          <w:ilvl w:val="1"/>
          <w:numId w:val="1012"/>
        </w:numPr>
        <w:pStyle w:val="Compact"/>
      </w:pPr>
      <w:r>
        <w:t xml:space="preserve">Isolement (ex : SRAS)</w:t>
      </w:r>
    </w:p>
    <w:p>
      <w:pPr>
        <w:numPr>
          <w:ilvl w:val="1"/>
          <w:numId w:val="1012"/>
        </w:numPr>
        <w:pStyle w:val="Compact"/>
      </w:pPr>
      <w:r>
        <w:t xml:space="preserve">Traitement des malades (Tuberculose)</w:t>
      </w:r>
    </w:p>
    <w:p>
      <w:pPr>
        <w:numPr>
          <w:ilvl w:val="1"/>
          <w:numId w:val="1012"/>
        </w:numPr>
        <w:pStyle w:val="Compact"/>
      </w:pPr>
      <w:r>
        <w:t xml:space="preserve">Traitement prophylactique de l’entourage (ex: Méningite)</w:t>
      </w:r>
    </w:p>
    <w:p>
      <w:pPr>
        <w:numPr>
          <w:ilvl w:val="1"/>
          <w:numId w:val="1012"/>
        </w:numPr>
        <w:pStyle w:val="Compact"/>
      </w:pPr>
      <w:r>
        <w:t xml:space="preserve">Repérer et neutraliser la source de la contamination (ex: TIAC)</w:t>
      </w:r>
    </w:p>
    <w:p>
      <w:pPr>
        <w:numPr>
          <w:ilvl w:val="1"/>
          <w:numId w:val="1012"/>
        </w:numPr>
        <w:pStyle w:val="Compact"/>
      </w:pPr>
      <w:r>
        <w:t xml:space="preserve">…</w:t>
      </w:r>
    </w:p>
    <w:bookmarkEnd w:id="35"/>
    <w:bookmarkStart w:id="36" w:name="X393a5bcdd029699cec7b8ca46523a4a3bc3560f"/>
    <w:p>
      <w:pPr>
        <w:pStyle w:val="Heading3"/>
      </w:pPr>
      <w:r>
        <w:t xml:space="preserve">1.2.2 Meilleure connaissance des besoins de prise en charge médicale des populations</w:t>
      </w:r>
    </w:p>
    <w:p>
      <w:pPr>
        <w:pStyle w:val="BlockText"/>
      </w:pPr>
      <w:r>
        <w:rPr>
          <w:iCs/>
          <w:i/>
        </w:rPr>
        <w:t xml:space="preserve">Ex : fréquence de la trisomie 21 selon l’âge maternel</w:t>
      </w:r>
    </w:p>
    <w:bookmarkEnd w:id="36"/>
    <w:bookmarkStart w:id="37" w:name="evaluation-dune-action-de-santé"/>
    <w:p>
      <w:pPr>
        <w:pStyle w:val="Heading3"/>
      </w:pPr>
      <w:r>
        <w:t xml:space="preserve">1.2.3 Evaluation d’une action de santé</w:t>
      </w:r>
    </w:p>
    <w:p>
      <w:pPr>
        <w:pStyle w:val="FirstParagraph"/>
      </w:pPr>
      <w:r>
        <w:t xml:space="preserve">img covid</w:t>
      </w:r>
    </w:p>
    <w:bookmarkEnd w:id="37"/>
    <w:bookmarkStart w:id="38" w:name="Xe5fac583350fe8029c845eb53383da9634aff39"/>
    <w:p>
      <w:pPr>
        <w:pStyle w:val="Heading3"/>
      </w:pPr>
      <w:r>
        <w:t xml:space="preserve">1.2.4 Formulation d’hypothèses dans la recherche étiologique</w:t>
      </w:r>
    </w:p>
    <w:p>
      <w:pPr>
        <w:pStyle w:val="FirstParagraph"/>
      </w:pPr>
      <w:r>
        <w:t xml:space="preserve">img gradient nord sud</w:t>
      </w:r>
    </w:p>
    <w:bookmarkEnd w:id="38"/>
    <w:bookmarkEnd w:id="39"/>
    <w:bookmarkStart w:id="40" w:name="en-bref"/>
    <w:p>
      <w:pPr>
        <w:pStyle w:val="Heading2"/>
      </w:pPr>
      <w:r>
        <w:t xml:space="preserve">1.3 En bref</w:t>
      </w:r>
    </w:p>
    <w:p>
      <w:pPr>
        <w:pStyle w:val="FirstParagraph"/>
      </w:pPr>
      <w:r>
        <w:t xml:space="preserve">Vise à déterminer dans la population : la fréquence et la répartition</w:t>
      </w:r>
    </w:p>
    <w:p>
      <w:pPr>
        <w:numPr>
          <w:ilvl w:val="0"/>
          <w:numId w:val="1013"/>
        </w:numPr>
        <w:pStyle w:val="Compact"/>
      </w:pPr>
      <w:r>
        <w:t xml:space="preserve">Des maladies</w:t>
      </w:r>
    </w:p>
    <w:p>
      <w:pPr>
        <w:numPr>
          <w:ilvl w:val="0"/>
          <w:numId w:val="1013"/>
        </w:numPr>
        <w:pStyle w:val="Compact"/>
      </w:pPr>
      <w:r>
        <w:t xml:space="preserve">Des paramètres de santé</w:t>
      </w:r>
    </w:p>
    <w:p>
      <w:pPr>
        <w:numPr>
          <w:ilvl w:val="0"/>
          <w:numId w:val="1013"/>
        </w:numPr>
        <w:pStyle w:val="Compact"/>
      </w:pPr>
      <w:r>
        <w:t xml:space="preserve">Des facteurs de risques</w:t>
      </w:r>
    </w:p>
    <w:p>
      <w:pPr>
        <w:pStyle w:val="FirstParagraph"/>
      </w:pPr>
      <w:r>
        <w:t xml:space="preserve">En terme de</w:t>
      </w:r>
    </w:p>
    <w:p>
      <w:pPr>
        <w:numPr>
          <w:ilvl w:val="0"/>
          <w:numId w:val="1014"/>
        </w:numPr>
        <w:pStyle w:val="Compact"/>
      </w:pPr>
      <w:r>
        <w:t xml:space="preserve">Temps : Quand?</w:t>
      </w:r>
    </w:p>
    <w:p>
      <w:pPr>
        <w:numPr>
          <w:ilvl w:val="0"/>
          <w:numId w:val="1014"/>
        </w:numPr>
        <w:pStyle w:val="Compact"/>
      </w:pPr>
      <w:r>
        <w:t xml:space="preserve">Lieu : Où?</w:t>
      </w:r>
    </w:p>
    <w:p>
      <w:pPr>
        <w:numPr>
          <w:ilvl w:val="0"/>
          <w:numId w:val="1014"/>
        </w:numPr>
        <w:pStyle w:val="Compact"/>
      </w:pPr>
      <w:r>
        <w:t xml:space="preserve">Personnes : Qui?</w:t>
      </w:r>
    </w:p>
    <w:bookmarkEnd w:id="40"/>
    <w:bookmarkEnd w:id="41"/>
    <w:bookmarkStart w:id="51" w:name="mesures-de-base"/>
    <w:p>
      <w:pPr>
        <w:pStyle w:val="Heading1"/>
      </w:pPr>
      <w:r>
        <w:t xml:space="preserve">2. Mesures de base</w:t>
      </w:r>
    </w:p>
    <w:p>
      <w:pPr>
        <w:pStyle w:val="FirstParagraph"/>
      </w:pPr>
      <w:r>
        <w:t xml:space="preserve">Un indicateur de santé est une variable que l’on mesure afin de mesurer l’état de santé d’une population</w:t>
      </w:r>
    </w:p>
    <w:p>
      <w:pPr>
        <w:numPr>
          <w:ilvl w:val="0"/>
          <w:numId w:val="1015"/>
        </w:numPr>
        <w:pStyle w:val="Compact"/>
      </w:pPr>
      <w:r>
        <w:t xml:space="preserve">Outil d’évaluation et d’aide à la décision</w:t>
      </w:r>
    </w:p>
    <w:p>
      <w:pPr>
        <w:numPr>
          <w:ilvl w:val="0"/>
          <w:numId w:val="1015"/>
        </w:numPr>
        <w:pStyle w:val="Compact"/>
      </w:pPr>
      <w:r>
        <w:t xml:space="preserve">Permet de décrire l’état de santé des individus d’une communauté</w:t>
      </w:r>
    </w:p>
    <w:p>
      <w:pPr>
        <w:numPr>
          <w:ilvl w:val="0"/>
          <w:numId w:val="1015"/>
        </w:numPr>
        <w:pStyle w:val="Compact"/>
      </w:pPr>
      <w:r>
        <w:t xml:space="preserve">Bien définir ce que nous mesurons +++ : TEMPS-ESPACE-PERSONNE</w:t>
      </w:r>
    </w:p>
    <w:p>
      <w:pPr>
        <w:numPr>
          <w:ilvl w:val="0"/>
          <w:numId w:val="1015"/>
        </w:numPr>
        <w:pStyle w:val="Compact"/>
      </w:pPr>
      <w:r>
        <w:t xml:space="preserve">Toute mesure a un numérateur et un dénominateur</w:t>
      </w:r>
    </w:p>
    <w:bookmarkStart w:id="42" w:name="proportion"/>
    <w:p>
      <w:pPr>
        <w:pStyle w:val="Heading2"/>
      </w:pPr>
      <w:r>
        <w:t xml:space="preserve">2.1 Proportion</w:t>
      </w:r>
    </w:p>
    <w:p>
      <w:pPr>
        <w:numPr>
          <w:ilvl w:val="0"/>
          <w:numId w:val="1016"/>
        </w:numPr>
        <w:pStyle w:val="Compact"/>
      </w:pPr>
      <w:r>
        <w:t xml:space="preserve">S’exprime en % ou en chiffre compris entre 0 et 1</w:t>
      </w:r>
    </w:p>
    <w:p>
      <w:pPr>
        <w:numPr>
          <w:ilvl w:val="0"/>
          <w:numId w:val="1016"/>
        </w:numPr>
        <w:pStyle w:val="Compact"/>
      </w:pPr>
      <w:r>
        <w:t xml:space="preserve">Dénominateur inclus le numérateur</w:t>
      </w:r>
    </w:p>
    <w:p>
      <w:pPr>
        <w:pStyle w:val="FirstParagraph"/>
      </w:pPr>
      <w:r>
        <w:t xml:space="preserve">Proportion est synonyme de</w:t>
      </w:r>
      <w:r>
        <w:t xml:space="preserve"> </w:t>
      </w:r>
      <w:r>
        <w:t xml:space="preserve">fréquence</w:t>
      </w:r>
      <w:r>
        <w:t xml:space="preserve">.</w:t>
      </w:r>
    </w:p>
    <w:p>
      <w:pPr>
        <w:pStyle w:val="BlockText"/>
      </w:pPr>
      <w:r>
        <w:rPr>
          <w:iCs/>
          <w:i/>
        </w:rPr>
        <w:t xml:space="preserve">Ex: sur 750 000 enfants de 2 ans, 602 250 sont correctement vaccinés contre la rougeole. 80,3% d’enfant à 24 mois avec une couverture vaccinale contre la rougeole</w:t>
      </w:r>
    </w:p>
    <w:p>
      <w:pPr>
        <w:pStyle w:val="FirstParagraph"/>
      </w:pPr>
      <w:r>
        <w:t xml:space="preserve">DRESS, remontées des services de PMI - Certificat de santé du 24e mois, Janvier 2020</w:t>
      </w:r>
    </w:p>
    <w:bookmarkEnd w:id="42"/>
    <w:bookmarkStart w:id="43" w:name="taux"/>
    <w:p>
      <w:pPr>
        <w:pStyle w:val="Heading2"/>
      </w:pPr>
      <w:r>
        <w:t xml:space="preserve">2.2 Taux</w:t>
      </w:r>
    </w:p>
    <w:p>
      <w:pPr>
        <w:pStyle w:val="FirstParagraph"/>
      </w:pPr>
      <w:r>
        <w:t xml:space="preserve">$$
\frac
{Nombre \space de \space changement \space d’état 
\space pendant \space une \space durée \space T}
{Nombre \space de \space sujet \space à \space risque
\space de \space changement \space d’état \space pendant 
\space cette \space durée \space T}
$$</w:t>
      </w:r>
    </w:p>
    <w:p>
      <w:pPr>
        <w:numPr>
          <w:ilvl w:val="0"/>
          <w:numId w:val="1017"/>
        </w:numPr>
        <w:pStyle w:val="Compact"/>
      </w:pPr>
      <w:r>
        <w:t xml:space="preserve">Probabilité de survenue d’un événement au cours d’une période</w:t>
      </w:r>
    </w:p>
    <w:p>
      <w:pPr>
        <w:numPr>
          <w:ilvl w:val="0"/>
          <w:numId w:val="1017"/>
        </w:numPr>
        <w:pStyle w:val="Compact"/>
      </w:pPr>
      <w:r>
        <w:t xml:space="preserve">S’exprime en % ou en chiffre compris entre 0 et 1</w:t>
      </w:r>
    </w:p>
    <w:p>
      <w:pPr>
        <w:numPr>
          <w:ilvl w:val="0"/>
          <w:numId w:val="1017"/>
        </w:numPr>
        <w:pStyle w:val="Compact"/>
      </w:pPr>
      <w:r>
        <w:t xml:space="preserve">Notion de temps et de risque</w:t>
      </w:r>
    </w:p>
    <w:p>
      <w:pPr>
        <w:pStyle w:val="BlockText"/>
      </w:pPr>
      <w:r>
        <w:rPr>
          <w:iCs/>
          <w:i/>
        </w:rPr>
        <w:t xml:space="preserve">Ex: taux de mortalité, taux d’incidence</w:t>
      </w:r>
    </w:p>
    <w:bookmarkEnd w:id="43"/>
    <w:bookmarkStart w:id="44" w:name="ratio"/>
    <w:p>
      <w:pPr>
        <w:pStyle w:val="Heading2"/>
      </w:pPr>
      <w:r>
        <w:t xml:space="preserve">2.3 Ratio</w:t>
      </w:r>
    </w:p>
    <w:p>
      <w:pPr>
        <w:numPr>
          <w:ilvl w:val="0"/>
          <w:numId w:val="1018"/>
        </w:numPr>
        <w:pStyle w:val="Compact"/>
      </w:pPr>
      <w:r>
        <w:t xml:space="preserve">Rapport des effectifs des 2 modalités d’une même variable mutuellement exclusives</w:t>
      </w:r>
    </w:p>
    <w:p>
      <w:pPr>
        <w:numPr>
          <w:ilvl w:val="0"/>
          <w:numId w:val="1018"/>
        </w:numPr>
        <w:pStyle w:val="Compact"/>
      </w:pPr>
      <w:r>
        <w:t xml:space="preserve">Pas d’unité</w:t>
      </w:r>
    </w:p>
    <w:p>
      <w:pPr>
        <w:numPr>
          <w:ilvl w:val="0"/>
          <w:numId w:val="1018"/>
        </w:numPr>
        <w:pStyle w:val="Compact"/>
      </w:pPr>
      <w:r>
        <w:t xml:space="preserve">Variables sexe à 2 modalités (F,H) : sex ratio = H/F</w:t>
      </w:r>
    </w:p>
    <w:p>
      <w:pPr>
        <w:pStyle w:val="BlockText"/>
      </w:pPr>
      <w:r>
        <w:rPr>
          <w:iCs/>
          <w:i/>
        </w:rPr>
        <w:t xml:space="preserve">Ex: sur 100 individus, 49 hommes et 51 femmes Sex ratio= 0,96 (0,96 hommes pour 1 femme)</w:t>
      </w:r>
    </w:p>
    <w:bookmarkEnd w:id="44"/>
    <w:bookmarkStart w:id="45" w:name="indice"/>
    <w:p>
      <w:pPr>
        <w:pStyle w:val="Heading2"/>
      </w:pPr>
      <w:r>
        <w:t xml:space="preserve">2.4 Indice</w:t>
      </w:r>
    </w:p>
    <w:p>
      <w:pPr>
        <w:pStyle w:val="FirstParagraph"/>
      </w:pPr>
      <w:r>
        <w:t xml:space="preserve">Rapport des effectifs de 2 variables</w:t>
      </w:r>
    </w:p>
    <w:p>
      <w:pPr>
        <w:pStyle w:val="BlockText"/>
      </w:pPr>
      <w:r>
        <w:rPr>
          <w:iCs/>
          <w:i/>
        </w:rPr>
        <w:t xml:space="preserve">Ex: à l’hôpital, 1000 enfants pour 10 infirmières soit 1000/10=100 enfants par infirmières</w:t>
      </w:r>
    </w:p>
    <w:bookmarkEnd w:id="45"/>
    <w:bookmarkStart w:id="50" w:name="en-bref-1"/>
    <w:p>
      <w:pPr>
        <w:pStyle w:val="Heading2"/>
      </w:pPr>
      <w:r>
        <w:t xml:space="preserve">2.5 En bref</w:t>
      </w:r>
    </w:p>
    <w:p>
      <w:pPr>
        <w:pStyle w:val="FirstParagraph"/>
      </w:pPr>
      <w:r>
        <w:t xml:space="preserve">Pour être de qualité, un indicateur de santé doit être :</w:t>
      </w:r>
    </w:p>
    <w:p>
      <w:pPr>
        <w:numPr>
          <w:ilvl w:val="0"/>
          <w:numId w:val="1019"/>
        </w:numPr>
        <w:pStyle w:val="Compact"/>
      </w:pPr>
      <w:r>
        <w:t xml:space="preserve">Simple et acceptable</w:t>
      </w:r>
    </w:p>
    <w:p>
      <w:pPr>
        <w:numPr>
          <w:ilvl w:val="0"/>
          <w:numId w:val="1019"/>
        </w:numPr>
        <w:pStyle w:val="Compact"/>
      </w:pPr>
      <w:r>
        <w:t xml:space="preserve">Valide : mesure pertinente</w:t>
      </w:r>
    </w:p>
    <w:p>
      <w:pPr>
        <w:numPr>
          <w:ilvl w:val="0"/>
          <w:numId w:val="1019"/>
        </w:numPr>
        <w:pStyle w:val="Compact"/>
      </w:pPr>
      <w:r>
        <w:t xml:space="preserve">Fiable : mesure précise et reproductible</w:t>
      </w:r>
    </w:p>
    <w:p>
      <w:pPr>
        <w:numPr>
          <w:ilvl w:val="0"/>
          <w:numId w:val="1019"/>
        </w:numPr>
        <w:pStyle w:val="Compact"/>
      </w:pPr>
      <w:r>
        <w:t xml:space="preserve">Sensible : si le phénomène évolue, l’indicateur évolue aussi</w:t>
      </w:r>
    </w:p>
    <w:p>
      <w:pPr>
        <w:numPr>
          <w:ilvl w:val="0"/>
          <w:numId w:val="1019"/>
        </w:numPr>
        <w:pStyle w:val="Compact"/>
      </w:pPr>
      <w:r>
        <w:t xml:space="preserve">Spécifique :</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Cs/>
                <w:b/>
              </w:rPr>
              <w:t xml:space="preserve">Fiablilité vs validité</w:t>
            </w:r>
          </w:p>
          <w:p>
            <w:pPr>
              <w:pStyle w:val="BodyText"/>
            </w:pPr>
            <w:pPr>
              <w:spacing w:before="16"/>
            </w:pPr>
            <w:r>
              <w:t xml:space="preserve">Il faut bien distinguer fiabilité et validité</w:t>
            </w:r>
          </w:p>
          <w:p>
            <w:pPr>
              <w:pStyle w:val="BodyText"/>
            </w:pPr>
            <w:r>
              <w:t xml:space="preserve">Fiabilité</w:t>
            </w:r>
            <w:r>
              <w:t xml:space="preserve"> </w:t>
            </w:r>
            <w:r>
              <w:t xml:space="preserve">La fiabilité est synonyme de</w:t>
            </w:r>
            <w:r>
              <w:t xml:space="preserve"> </w:t>
            </w:r>
            <w:r>
              <w:t xml:space="preserve">précision</w:t>
            </w:r>
          </w:p>
          <w:p>
            <w:pPr>
              <w:pStyle w:val="BodyText"/>
            </w:pPr>
            <w:pPr>
              <w:spacing w:after="16"/>
            </w:pPr>
            <w:r>
              <w:t xml:space="preserve">Validité</w:t>
            </w:r>
            <w:r>
              <w:t xml:space="preserve"> </w:t>
            </w:r>
            <w:r>
              <w:t xml:space="preserve">La validité est synonyme d’</w:t>
            </w:r>
            <w:r>
              <w:t xml:space="preserve">exactitude</w:t>
            </w:r>
          </w:p>
        </w:tc>
      </w:tr>
    </w:tbl>
    <w:p>
      <w:pPr>
        <w:pStyle w:val="BodyText"/>
      </w:pPr>
      <w:r>
        <w:t xml:space="preserve">2 grandes catégories d’indicateurs de santé :</w:t>
      </w:r>
    </w:p>
    <w:p>
      <w:pPr>
        <w:numPr>
          <w:ilvl w:val="0"/>
          <w:numId w:val="1020"/>
        </w:numPr>
        <w:pStyle w:val="Compact"/>
      </w:pPr>
      <w:r>
        <w:t xml:space="preserve">Les indicateurs de</w:t>
      </w:r>
      <w:r>
        <w:t xml:space="preserve"> </w:t>
      </w:r>
      <w:r>
        <w:t xml:space="preserve">mortalité</w:t>
      </w:r>
    </w:p>
    <w:p>
      <w:pPr>
        <w:numPr>
          <w:ilvl w:val="0"/>
          <w:numId w:val="1020"/>
        </w:numPr>
        <w:pStyle w:val="Compact"/>
      </w:pPr>
      <w:r>
        <w:t xml:space="preserve">Les indicateurs de</w:t>
      </w:r>
      <w:r>
        <w:t xml:space="preserve"> </w:t>
      </w:r>
      <w:r>
        <w:t xml:space="preserve">morbidité</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8" name="Picture"/>
                  <a:graphic>
                    <a:graphicData uri="http://schemas.openxmlformats.org/drawingml/2006/picture">
                      <pic:pic>
                        <pic:nvPicPr>
                          <pic:cNvPr descr="/opt/quarto/share/formats/docx/note.png" id="4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Cs/>
                <w:b/>
              </w:rPr>
              <w:t xml:space="preserve">Proportion? Taux? Ratio? Indice?</w:t>
            </w:r>
          </w:p>
          <w:p>
            <w:pPr>
              <w:pStyle w:val="BodyText"/>
            </w:pPr>
            <w:pPr>
              <w:spacing w:before="16"/>
            </w:pPr>
            <w:r>
              <w:t xml:space="preserve">Nombre de cancers cutanés / nombre de cancers</w:t>
            </w:r>
          </w:p>
          <w:p>
            <w:pPr>
              <w:pStyle w:val="SourceCode"/>
            </w:pPr>
            <w:r>
              <w:rPr>
                <w:rStyle w:val="StringTok"/>
              </w:rPr>
              <w:t xml:space="preserve">"proportion"</w:t>
            </w:r>
            <w:r>
              <w:br/>
            </w:r>
            <w:r>
              <w:br/>
            </w:r>
            <w:r>
              <w:br/>
            </w:r>
            <w:r>
              <w:rPr>
                <w:rStyle w:val="NormalTok"/>
              </w:rPr>
              <w:t xml:space="preserve">explication </w:t>
            </w:r>
            <w:r>
              <w:rPr>
                <w:rStyle w:val="SpecialCharTok"/>
              </w:rPr>
              <w:t xml:space="preserve">:</w:t>
            </w:r>
            <w:r>
              <w:br/>
            </w:r>
            <w:r>
              <w:br/>
            </w:r>
            <w:r>
              <w:rPr>
                <w:rStyle w:val="SpecialCharTok"/>
              </w:rPr>
              <w:t xml:space="preserve">-</w:t>
            </w:r>
            <w:r>
              <w:rPr>
                <w:rStyle w:val="NormalTok"/>
              </w:rPr>
              <w:t xml:space="preserve"> une seule variable </w:t>
            </w:r>
            <w:r>
              <w:rPr>
                <w:rStyle w:val="SpecialCharTok"/>
              </w:rPr>
              <w:t xml:space="preserve">:</w:t>
            </w:r>
            <w:r>
              <w:rPr>
                <w:rStyle w:val="NormalTok"/>
              </w:rPr>
              <w:t xml:space="preserve"> le cancer</w:t>
            </w:r>
            <w:r>
              <w:br/>
            </w:r>
            <w:r>
              <w:br/>
            </w:r>
            <w:r>
              <w:rPr>
                <w:rStyle w:val="SpecialCharTok"/>
              </w:rPr>
              <w:t xml:space="preserve">-</w:t>
            </w:r>
            <w:r>
              <w:rPr>
                <w:rStyle w:val="NormalTok"/>
              </w:rPr>
              <w:t xml:space="preserve"> nombre de cancers </w:t>
            </w:r>
            <w:r>
              <w:rPr>
                <w:rStyle w:val="OtherTok"/>
              </w:rPr>
              <w:t xml:space="preserve">=</w:t>
            </w:r>
            <w:r>
              <w:rPr>
                <w:rStyle w:val="NormalTok"/>
              </w:rPr>
              <w:t xml:space="preserve"> ensemble des cancers</w:t>
            </w:r>
            <w:r>
              <w:br/>
            </w:r>
            <w:r>
              <w:br/>
            </w:r>
            <w:r>
              <w:rPr>
                <w:rStyle w:val="SpecialCharTok"/>
              </w:rPr>
              <w:t xml:space="preserve">-</w:t>
            </w:r>
            <w:r>
              <w:rPr>
                <w:rStyle w:val="NormalTok"/>
              </w:rPr>
              <w:t xml:space="preserve"> les cancers cutanés sont un sous</w:t>
            </w:r>
            <w:r>
              <w:rPr>
                <w:rStyle w:val="SpecialCharTok"/>
              </w:rPr>
              <w:t xml:space="preserve">-</w:t>
            </w:r>
            <w:r>
              <w:rPr>
                <w:rStyle w:val="NormalTok"/>
              </w:rPr>
              <w:t xml:space="preserve">ensemble des cancers</w:t>
            </w:r>
            <w:r>
              <w:br/>
            </w:r>
            <w:r>
              <w:br/>
            </w:r>
            <w:r>
              <w:rPr>
                <w:rStyle w:val="SpecialCharTok"/>
              </w:rPr>
              <w:t xml:space="preserve">-</w:t>
            </w:r>
            <w:r>
              <w:rPr>
                <w:rStyle w:val="OtherTok"/>
              </w:rPr>
              <w:t xml:space="preserve">-&gt;</w:t>
            </w:r>
            <w:r>
              <w:rPr>
                <w:rStyle w:val="NormalTok"/>
              </w:rPr>
              <w:t xml:space="preserve"> c</w:t>
            </w:r>
            <w:r>
              <w:rPr>
                <w:rStyle w:val="StringTok"/>
              </w:rPr>
              <w:t xml:space="preserve">''</w:t>
            </w:r>
            <w:r>
              <w:rPr>
                <w:rStyle w:val="NormalTok"/>
              </w:rPr>
              <w:t xml:space="preserve">est un rapport dans lequel le numérateur est inclut dans le dénominateur</w:t>
            </w:r>
          </w:p>
          <w:p>
            <w:pPr>
              <w:pStyle w:val="FirstParagraph"/>
            </w:pPr>
            <w:r>
              <w:br/>
            </w:r>
          </w:p>
          <w:p>
            <w:pPr>
              <w:pStyle w:val="BodyText"/>
            </w:pPr>
            <w:r>
              <w:t xml:space="preserve">Nombre de fumeurs / Nombre de non fumeurs</w:t>
            </w:r>
          </w:p>
          <w:p>
            <w:pPr>
              <w:pStyle w:val="SourceCode"/>
            </w:pPr>
            <w:r>
              <w:rPr>
                <w:rStyle w:val="StringTok"/>
              </w:rPr>
              <w:t xml:space="preserve">"ratio"</w:t>
            </w:r>
            <w:r>
              <w:br/>
            </w:r>
            <w:r>
              <w:br/>
            </w:r>
            <w:r>
              <w:br/>
            </w:r>
            <w:r>
              <w:rPr>
                <w:rStyle w:val="NormalTok"/>
              </w:rPr>
              <w:t xml:space="preserve">explication </w:t>
            </w:r>
            <w:r>
              <w:rPr>
                <w:rStyle w:val="SpecialCharTok"/>
              </w:rPr>
              <w:t xml:space="preserve">:</w:t>
            </w:r>
            <w:r>
              <w:br/>
            </w:r>
            <w:r>
              <w:br/>
            </w:r>
            <w:r>
              <w:rPr>
                <w:rStyle w:val="SpecialCharTok"/>
              </w:rPr>
              <w:t xml:space="preserve">-</w:t>
            </w:r>
            <w:r>
              <w:rPr>
                <w:rStyle w:val="NormalTok"/>
              </w:rPr>
              <w:t xml:space="preserve"> une seule variable </w:t>
            </w:r>
            <w:r>
              <w:rPr>
                <w:rStyle w:val="SpecialCharTok"/>
              </w:rPr>
              <w:t xml:space="preserve">:</w:t>
            </w:r>
            <w:r>
              <w:rPr>
                <w:rStyle w:val="NormalTok"/>
              </w:rPr>
              <w:t xml:space="preserve"> le statut fumeur</w:t>
            </w:r>
            <w:r>
              <w:rPr>
                <w:rStyle w:val="SpecialCharTok"/>
              </w:rPr>
              <w:t xml:space="preserve">/</w:t>
            </w:r>
            <w:r>
              <w:rPr>
                <w:rStyle w:val="NormalTok"/>
              </w:rPr>
              <w:t xml:space="preserve">non fumeur</w:t>
            </w:r>
            <w:r>
              <w:br/>
            </w:r>
            <w:r>
              <w:rPr>
                <w:rStyle w:val="NormalTok"/>
              </w:rPr>
              <w:t xml:space="preserve">  </w:t>
            </w:r>
            <w:r>
              <w:br/>
            </w:r>
            <w:r>
              <w:rPr>
                <w:rStyle w:val="SpecialCharTok"/>
              </w:rPr>
              <w:t xml:space="preserve">-</w:t>
            </w:r>
            <w:r>
              <w:rPr>
                <w:rStyle w:val="NormalTok"/>
              </w:rPr>
              <w:t xml:space="preserve"> variable à </w:t>
            </w:r>
            <w:r>
              <w:rPr>
                <w:rStyle w:val="DecValTok"/>
              </w:rPr>
              <w:t xml:space="preserve">2</w:t>
            </w:r>
            <w:r>
              <w:rPr>
                <w:rStyle w:val="NormalTok"/>
              </w:rPr>
              <w:t xml:space="preserve"> modalités </w:t>
            </w:r>
            <w:r>
              <w:rPr>
                <w:rStyle w:val="SpecialCharTok"/>
              </w:rPr>
              <w:t xml:space="preserve">:</w:t>
            </w:r>
            <w:r>
              <w:rPr>
                <w:rStyle w:val="NormalTok"/>
              </w:rPr>
              <w:t xml:space="preserve"> fumeur, non fumeur</w:t>
            </w:r>
            <w:r>
              <w:br/>
            </w:r>
            <w:r>
              <w:br/>
            </w:r>
            <w:r>
              <w:rPr>
                <w:rStyle w:val="SpecialCharTok"/>
              </w:rPr>
              <w:t xml:space="preserve">-</w:t>
            </w:r>
            <w:r>
              <w:rPr>
                <w:rStyle w:val="OtherTok"/>
              </w:rPr>
              <w:t xml:space="preserve">-&gt;</w:t>
            </w:r>
            <w:r>
              <w:rPr>
                <w:rStyle w:val="NormalTok"/>
              </w:rPr>
              <w:t xml:space="preserve"> c</w:t>
            </w:r>
            <w:r>
              <w:rPr>
                <w:rStyle w:val="StringTok"/>
              </w:rPr>
              <w:t xml:space="preserve">''</w:t>
            </w:r>
            <w:r>
              <w:rPr>
                <w:rStyle w:val="NormalTok"/>
              </w:rPr>
              <w:t xml:space="preserve">est un rapport entre </w:t>
            </w:r>
            <w:r>
              <w:rPr>
                <w:rStyle w:val="DecValTok"/>
              </w:rPr>
              <w:t xml:space="preserve">2</w:t>
            </w:r>
            <w:r>
              <w:rPr>
                <w:rStyle w:val="NormalTok"/>
              </w:rPr>
              <w:t xml:space="preserve"> modalités d</w:t>
            </w:r>
            <w:r>
              <w:rPr>
                <w:rStyle w:val="StringTok"/>
              </w:rPr>
              <w:t xml:space="preserve">''</w:t>
            </w:r>
            <w:r>
              <w:rPr>
                <w:rStyle w:val="NormalTok"/>
              </w:rPr>
              <w:t xml:space="preserve">une même variable</w:t>
            </w:r>
          </w:p>
          <w:p>
            <w:pPr>
              <w:pStyle w:val="FirstParagraph"/>
            </w:pPr>
            <w:r>
              <w:br/>
            </w:r>
          </w:p>
          <w:p>
            <w:pPr>
              <w:pStyle w:val="BodyText"/>
            </w:pPr>
            <w:r>
              <w:t xml:space="preserve">Consommation de cigarettes par habitant</w:t>
            </w:r>
          </w:p>
          <w:p>
            <w:pPr>
              <w:pStyle w:val="SourceCode"/>
            </w:pPr>
            <w:r>
              <w:rPr>
                <w:rStyle w:val="StringTok"/>
              </w:rPr>
              <w:t xml:space="preserve">"indice"</w:t>
            </w:r>
            <w:r>
              <w:br/>
            </w:r>
            <w:r>
              <w:br/>
            </w:r>
            <w:r>
              <w:rPr>
                <w:rStyle w:val="SpecialCharTok"/>
              </w:rPr>
              <w:t xml:space="preserve">-</w:t>
            </w:r>
            <w:r>
              <w:rPr>
                <w:rStyle w:val="NormalTok"/>
              </w:rPr>
              <w:t xml:space="preserve"> </w:t>
            </w:r>
            <w:r>
              <w:rPr>
                <w:rStyle w:val="DecValTok"/>
              </w:rPr>
              <w:t xml:space="preserve">2</w:t>
            </w:r>
            <w:r>
              <w:rPr>
                <w:rStyle w:val="NormalTok"/>
              </w:rPr>
              <w:t xml:space="preserve"> variables </w:t>
            </w:r>
            <w:r>
              <w:rPr>
                <w:rStyle w:val="SpecialCharTok"/>
              </w:rPr>
              <w:t xml:space="preserve">:</w:t>
            </w:r>
            <w:r>
              <w:br/>
            </w:r>
            <w:r>
              <w:rPr>
                <w:rStyle w:val="NormalTok"/>
              </w:rPr>
              <w:t xml:space="preserve">  </w:t>
            </w:r>
            <w:r>
              <w:rPr>
                <w:rStyle w:val="SpecialCharTok"/>
              </w:rPr>
              <w:t xml:space="preserve">-</w:t>
            </w:r>
            <w:r>
              <w:rPr>
                <w:rStyle w:val="NormalTok"/>
              </w:rPr>
              <w:t xml:space="preserve"> nombre de cigarettes</w:t>
            </w:r>
            <w:r>
              <w:br/>
            </w:r>
            <w:r>
              <w:rPr>
                <w:rStyle w:val="NormalTok"/>
              </w:rPr>
              <w:t xml:space="preserve">  </w:t>
            </w:r>
            <w:r>
              <w:rPr>
                <w:rStyle w:val="SpecialCharTok"/>
              </w:rPr>
              <w:t xml:space="preserve">-</w:t>
            </w:r>
            <w:r>
              <w:rPr>
                <w:rStyle w:val="NormalTok"/>
              </w:rPr>
              <w:t xml:space="preserve"> nombre d</w:t>
            </w:r>
            <w:r>
              <w:rPr>
                <w:rStyle w:val="StringTok"/>
              </w:rPr>
              <w:t xml:space="preserve">''</w:t>
            </w:r>
            <w:r>
              <w:rPr>
                <w:rStyle w:val="NormalTok"/>
              </w:rPr>
              <w:t xml:space="preserve">habitants</w:t>
            </w:r>
            <w:r>
              <w:br/>
            </w:r>
            <w:r>
              <w:rPr>
                <w:rStyle w:val="NormalTok"/>
              </w:rPr>
              <w:t xml:space="preserve">  </w:t>
            </w:r>
            <w:r>
              <w:br/>
            </w:r>
            <w:r>
              <w:rPr>
                <w:rStyle w:val="SpecialCharTok"/>
              </w:rPr>
              <w:t xml:space="preserve">-</w:t>
            </w:r>
            <w:r>
              <w:rPr>
                <w:rStyle w:val="OtherTok"/>
              </w:rPr>
              <w:t xml:space="preserve">-&gt;</w:t>
            </w:r>
            <w:r>
              <w:rPr>
                <w:rStyle w:val="NormalTok"/>
              </w:rPr>
              <w:t xml:space="preserve"> c</w:t>
            </w:r>
            <w:r>
              <w:rPr>
                <w:rStyle w:val="StringTok"/>
              </w:rPr>
              <w:t xml:space="preserve">''</w:t>
            </w:r>
            <w:r>
              <w:rPr>
                <w:rStyle w:val="NormalTok"/>
              </w:rPr>
              <w:t xml:space="preserve">est un rapport entre </w:t>
            </w:r>
            <w:r>
              <w:rPr>
                <w:rStyle w:val="DecValTok"/>
              </w:rPr>
              <w:t xml:space="preserve">2</w:t>
            </w:r>
            <w:r>
              <w:rPr>
                <w:rStyle w:val="NormalTok"/>
              </w:rPr>
              <w:t xml:space="preserve"> variables</w:t>
            </w:r>
          </w:p>
          <w:p>
            <w:pPr>
              <w:pStyle w:val="FirstParagraph"/>
            </w:pPr>
            <w:r>
              <w:br/>
            </w:r>
          </w:p>
          <w:p>
            <w:pPr>
              <w:pStyle w:val="BodyText"/>
            </w:pPr>
            <w:r>
              <w:t xml:space="preserve">Nombre de décès sur une période / effectif à risque de décès sur cette période</w:t>
            </w:r>
          </w:p>
          <w:p>
            <w:pPr>
              <w:pStyle w:val="SourceCode"/>
            </w:pPr>
            <w:r>
              <w:rPr>
                <w:rStyle w:val="StringTok"/>
              </w:rPr>
              <w:t xml:space="preserve">"taux"</w:t>
            </w:r>
            <w:r>
              <w:br/>
            </w:r>
            <w:r>
              <w:br/>
            </w:r>
            <w:r>
              <w:br/>
            </w:r>
            <w:r>
              <w:br/>
            </w:r>
            <w:r>
              <w:rPr>
                <w:rStyle w:val="NormalTok"/>
              </w:rPr>
              <w:t xml:space="preserve">(la baignoire </w:t>
            </w:r>
            <w:r>
              <w:rPr>
                <w:rStyle w:val="SpecialCharTok"/>
              </w:rPr>
              <w:t xml:space="preserve">!</w:t>
            </w:r>
            <w:r>
              <w:rPr>
                <w:rStyle w:val="NormalTok"/>
              </w:rPr>
              <w:t xml:space="preserve">)</w:t>
            </w:r>
          </w:p>
          <w:p>
            <w:pPr>
              <w:pStyle w:val="FirstParagraph"/>
            </w:pPr>
            <w:r>
              <w:br/>
            </w:r>
          </w:p>
          <w:p>
            <w:pPr>
              <w:pStyle w:val="BodyText"/>
            </w:pPr>
            <w:r>
              <w:t xml:space="preserve">Nombre d’hypertendus en 1975 / nombre d’hypertendus en 1994</w:t>
            </w:r>
          </w:p>
          <w:p>
            <w:pPr>
              <w:pStyle w:val="SourceCode"/>
            </w:pPr>
            <w:r>
              <w:rPr>
                <w:rStyle w:val="StringTok"/>
              </w:rPr>
              <w:t xml:space="preserve">"indice"</w:t>
            </w:r>
            <w:r>
              <w:br/>
            </w:r>
            <w:r>
              <w:br/>
            </w:r>
            <w:r>
              <w:br/>
            </w:r>
            <w:r>
              <w:rPr>
                <w:rStyle w:val="NormalTok"/>
              </w:rPr>
              <w:t xml:space="preserve">explication </w:t>
            </w:r>
            <w:r>
              <w:rPr>
                <w:rStyle w:val="SpecialCharTok"/>
              </w:rPr>
              <w:t xml:space="preserve">:</w:t>
            </w:r>
            <w:r>
              <w:br/>
            </w:r>
            <w:r>
              <w:br/>
            </w:r>
            <w:r>
              <w:rPr>
                <w:rStyle w:val="SpecialCharTok"/>
              </w:rPr>
              <w:t xml:space="preserve">-</w:t>
            </w:r>
            <w:r>
              <w:rPr>
                <w:rStyle w:val="NormalTok"/>
              </w:rPr>
              <w:t xml:space="preserve"> </w:t>
            </w:r>
            <w:r>
              <w:rPr>
                <w:rStyle w:val="DecValTok"/>
              </w:rPr>
              <w:t xml:space="preserve">2</w:t>
            </w:r>
            <w:r>
              <w:rPr>
                <w:rStyle w:val="NormalTok"/>
              </w:rPr>
              <w:t xml:space="preserve"> variables </w:t>
            </w:r>
            <w:r>
              <w:rPr>
                <w:rStyle w:val="SpecialCharTok"/>
              </w:rPr>
              <w:t xml:space="preserve">:</w:t>
            </w:r>
            <w:r>
              <w:br/>
            </w:r>
            <w:r>
              <w:rPr>
                <w:rStyle w:val="NormalTok"/>
              </w:rPr>
              <w:t xml:space="preserve">  </w:t>
            </w:r>
            <w:r>
              <w:rPr>
                <w:rStyle w:val="SpecialCharTok"/>
              </w:rPr>
              <w:t xml:space="preserve">-</w:t>
            </w:r>
            <w:r>
              <w:rPr>
                <w:rStyle w:val="NormalTok"/>
              </w:rPr>
              <w:t xml:space="preserve"> nombre d</w:t>
            </w:r>
            <w:r>
              <w:rPr>
                <w:rStyle w:val="StringTok"/>
              </w:rPr>
              <w:t xml:space="preserve">''</w:t>
            </w:r>
            <w:r>
              <w:rPr>
                <w:rStyle w:val="NormalTok"/>
              </w:rPr>
              <w:t xml:space="preserve">hypertendus sur une période</w:t>
            </w:r>
            <w:r>
              <w:br/>
            </w:r>
            <w:r>
              <w:rPr>
                <w:rStyle w:val="NormalTok"/>
              </w:rPr>
              <w:t xml:space="preserve">  </w:t>
            </w:r>
            <w:r>
              <w:rPr>
                <w:rStyle w:val="SpecialCharTok"/>
              </w:rPr>
              <w:t xml:space="preserve">-</w:t>
            </w:r>
            <w:r>
              <w:rPr>
                <w:rStyle w:val="NormalTok"/>
              </w:rPr>
              <w:t xml:space="preserve"> nombre d</w:t>
            </w:r>
            <w:r>
              <w:rPr>
                <w:rStyle w:val="StringTok"/>
              </w:rPr>
              <w:t xml:space="preserve">''</w:t>
            </w:r>
            <w:r>
              <w:rPr>
                <w:rStyle w:val="NormalTok"/>
              </w:rPr>
              <w:t xml:space="preserve">hypertendus sur une autre période</w:t>
            </w:r>
            <w:r>
              <w:br/>
            </w:r>
            <w:r>
              <w:rPr>
                <w:rStyle w:val="NormalTok"/>
              </w:rPr>
              <w:t xml:space="preserve">  </w:t>
            </w:r>
            <w:r>
              <w:br/>
            </w:r>
            <w:r>
              <w:rPr>
                <w:rStyle w:val="SpecialCharTok"/>
              </w:rPr>
              <w:t xml:space="preserve">-</w:t>
            </w:r>
            <w:r>
              <w:rPr>
                <w:rStyle w:val="OtherTok"/>
              </w:rPr>
              <w:t xml:space="preserve">-&gt;</w:t>
            </w:r>
            <w:r>
              <w:rPr>
                <w:rStyle w:val="NormalTok"/>
              </w:rPr>
              <w:t xml:space="preserve"> c</w:t>
            </w:r>
            <w:r>
              <w:rPr>
                <w:rStyle w:val="StringTok"/>
              </w:rPr>
              <w:t xml:space="preserve">''</w:t>
            </w:r>
            <w:r>
              <w:rPr>
                <w:rStyle w:val="NormalTok"/>
              </w:rPr>
              <w:t xml:space="preserve">est un rapport entre </w:t>
            </w:r>
            <w:r>
              <w:rPr>
                <w:rStyle w:val="DecValTok"/>
              </w:rPr>
              <w:t xml:space="preserve">2</w:t>
            </w:r>
            <w:r>
              <w:rPr>
                <w:rStyle w:val="NormalTok"/>
              </w:rPr>
              <w:t xml:space="preserve"> variables</w:t>
            </w:r>
          </w:p>
          <w:p>
            <w:pPr>
              <w:pStyle w:val="FirstParagraph"/>
            </w:pPr>
            <w:r>
              <w:br/>
            </w:r>
          </w:p>
          <w:p>
            <w:pPr>
              <w:pStyle w:val="BodyText"/>
            </w:pPr>
            <w:r>
              <w:t xml:space="preserve">Nombre d’amputés du bras / nombre d’amputés</w:t>
            </w:r>
          </w:p>
          <w:p>
            <w:pPr>
              <w:pStyle w:val="SourceCode"/>
            </w:pPr>
            <w:r>
              <w:rPr>
                <w:rStyle w:val="StringTok"/>
              </w:rPr>
              <w:t xml:space="preserve">"proportion"</w:t>
            </w:r>
            <w:r>
              <w:br/>
            </w:r>
            <w:r>
              <w:br/>
            </w:r>
            <w:r>
              <w:br/>
            </w:r>
            <w:r>
              <w:rPr>
                <w:rStyle w:val="NormalTok"/>
              </w:rPr>
              <w:t xml:space="preserve">explication </w:t>
            </w:r>
            <w:r>
              <w:rPr>
                <w:rStyle w:val="SpecialCharTok"/>
              </w:rPr>
              <w:t xml:space="preserve">:</w:t>
            </w:r>
            <w:r>
              <w:br/>
            </w:r>
            <w:r>
              <w:br/>
            </w:r>
            <w:r>
              <w:rPr>
                <w:rStyle w:val="SpecialCharTok"/>
              </w:rPr>
              <w:t xml:space="preserve">-</w:t>
            </w:r>
            <w:r>
              <w:rPr>
                <w:rStyle w:val="NormalTok"/>
              </w:rPr>
              <w:t xml:space="preserve"> une seule variable </w:t>
            </w:r>
            <w:r>
              <w:rPr>
                <w:rStyle w:val="SpecialCharTok"/>
              </w:rPr>
              <w:t xml:space="preserve">:</w:t>
            </w:r>
            <w:r>
              <w:rPr>
                <w:rStyle w:val="NormalTok"/>
              </w:rPr>
              <w:t xml:space="preserve"> l</w:t>
            </w:r>
            <w:r>
              <w:rPr>
                <w:rStyle w:val="StringTok"/>
              </w:rPr>
              <w:t xml:space="preserve">''</w:t>
            </w:r>
            <w:r>
              <w:rPr>
                <w:rStyle w:val="NormalTok"/>
              </w:rPr>
              <w:t xml:space="preserve">amputation</w:t>
            </w:r>
            <w:r>
              <w:br/>
            </w:r>
            <w:r>
              <w:br/>
            </w:r>
            <w:r>
              <w:rPr>
                <w:rStyle w:val="SpecialCharTok"/>
              </w:rPr>
              <w:t xml:space="preserve">-</w:t>
            </w:r>
            <w:r>
              <w:rPr>
                <w:rStyle w:val="NormalTok"/>
              </w:rPr>
              <w:t xml:space="preserve"> nombre d</w:t>
            </w:r>
            <w:r>
              <w:rPr>
                <w:rStyle w:val="StringTok"/>
              </w:rPr>
              <w:t xml:space="preserve">''</w:t>
            </w:r>
            <w:r>
              <w:rPr>
                <w:rStyle w:val="NormalTok"/>
              </w:rPr>
              <w:t xml:space="preserve">amputations </w:t>
            </w:r>
            <w:r>
              <w:rPr>
                <w:rStyle w:val="OtherTok"/>
              </w:rPr>
              <w:t xml:space="preserve">=</w:t>
            </w:r>
            <w:r>
              <w:rPr>
                <w:rStyle w:val="NormalTok"/>
              </w:rPr>
              <w:t xml:space="preserve"> ensemble des amputations</w:t>
            </w:r>
            <w:r>
              <w:br/>
            </w:r>
            <w:r>
              <w:br/>
            </w:r>
            <w:r>
              <w:rPr>
                <w:rStyle w:val="SpecialCharTok"/>
              </w:rPr>
              <w:t xml:space="preserve">-</w:t>
            </w:r>
            <w:r>
              <w:rPr>
                <w:rStyle w:val="NormalTok"/>
              </w:rPr>
              <w:t xml:space="preserve"> les amputations du bras sont un sous</w:t>
            </w:r>
            <w:r>
              <w:rPr>
                <w:rStyle w:val="SpecialCharTok"/>
              </w:rPr>
              <w:t xml:space="preserve">-</w:t>
            </w:r>
            <w:r>
              <w:rPr>
                <w:rStyle w:val="NormalTok"/>
              </w:rPr>
              <w:t xml:space="preserve">ensemble des amputations</w:t>
            </w:r>
            <w:r>
              <w:br/>
            </w:r>
            <w:r>
              <w:br/>
            </w:r>
            <w:r>
              <w:rPr>
                <w:rStyle w:val="SpecialCharTok"/>
              </w:rPr>
              <w:t xml:space="preserve">-</w:t>
            </w:r>
            <w:r>
              <w:rPr>
                <w:rStyle w:val="OtherTok"/>
              </w:rPr>
              <w:t xml:space="preserve">-&gt;</w:t>
            </w:r>
            <w:r>
              <w:rPr>
                <w:rStyle w:val="NormalTok"/>
              </w:rPr>
              <w:t xml:space="preserve"> c</w:t>
            </w:r>
            <w:r>
              <w:rPr>
                <w:rStyle w:val="StringTok"/>
              </w:rPr>
              <w:t xml:space="preserve">''</w:t>
            </w:r>
            <w:r>
              <w:rPr>
                <w:rStyle w:val="NormalTok"/>
              </w:rPr>
              <w:t xml:space="preserve">est un rapport dans lequel le numérateur est inclut dans le dénominateur</w:t>
            </w:r>
          </w:p>
        </w:tc>
      </w:tr>
    </w:tbl>
    <w:bookmarkEnd w:id="50"/>
    <w:bookmarkEnd w:id="51"/>
    <w:bookmarkStart w:id="57" w:name="indicateurs-de-mortalité"/>
    <w:p>
      <w:pPr>
        <w:pStyle w:val="Heading1"/>
      </w:pPr>
      <w:r>
        <w:t xml:space="preserve">3. Indicateurs de mortalité</w:t>
      </w:r>
    </w:p>
    <w:p>
      <w:pPr>
        <w:pStyle w:val="FirstParagraph"/>
      </w:pPr>
      <w:r>
        <w:t xml:space="preserve">Indicateurs qui décrivent la fréquence des décès</w:t>
      </w:r>
    </w:p>
    <w:p>
      <w:pPr>
        <w:pStyle w:val="BodyText"/>
      </w:pPr>
      <w:r>
        <w:t xml:space="preserve">Différents taux de mortalité peuvent être calculés :</w:t>
      </w:r>
    </w:p>
    <w:p>
      <w:pPr>
        <w:numPr>
          <w:ilvl w:val="0"/>
          <w:numId w:val="1021"/>
        </w:numPr>
        <w:pStyle w:val="Compact"/>
      </w:pPr>
      <w:r>
        <w:t xml:space="preserve">Taux brut</w:t>
      </w:r>
    </w:p>
    <w:p>
      <w:pPr>
        <w:numPr>
          <w:ilvl w:val="0"/>
          <w:numId w:val="1021"/>
        </w:numPr>
        <w:pStyle w:val="Compact"/>
      </w:pPr>
      <w:r>
        <w:t xml:space="preserve">Taux spécifique</w:t>
      </w:r>
    </w:p>
    <w:p>
      <w:pPr>
        <w:numPr>
          <w:ilvl w:val="0"/>
          <w:numId w:val="1021"/>
        </w:numPr>
        <w:pStyle w:val="Compact"/>
      </w:pPr>
      <w:r>
        <w:t xml:space="preserve">Taux standardisé</w:t>
      </w:r>
    </w:p>
    <w:bookmarkStart w:id="52" w:name="taux-brut-de-mortalité"/>
    <w:p>
      <w:pPr>
        <w:pStyle w:val="Heading2"/>
      </w:pPr>
      <w:r>
        <w:t xml:space="preserve">3.1 Taux brut de mortalité</w:t>
      </w:r>
    </w:p>
    <w:p>
      <w:pPr>
        <w:pStyle w:val="FirstParagraph"/>
      </w:pPr>
      <w:r>
        <w:t xml:space="preserve">= mortalité globale</w:t>
      </w:r>
    </w:p>
    <w:p>
      <w:pPr>
        <w:pStyle w:val="BodyText"/>
      </w:pPr>
      <w:r>
        <w:t xml:space="preserve">Nombre de décès dans une population pour une période donnée / Effectif de la population pendant la même période</w:t>
      </w:r>
    </w:p>
    <w:p>
      <w:pPr>
        <w:numPr>
          <w:ilvl w:val="0"/>
          <w:numId w:val="1022"/>
        </w:numPr>
        <w:pStyle w:val="Compact"/>
      </w:pPr>
      <w:r>
        <w:t xml:space="preserve">En général calculé sur un an</w:t>
      </w:r>
    </w:p>
    <w:p>
      <w:pPr>
        <w:numPr>
          <w:ilvl w:val="0"/>
          <w:numId w:val="1022"/>
        </w:numPr>
        <w:pStyle w:val="Compact"/>
      </w:pPr>
      <w:r>
        <w:t xml:space="preserve">Exprimé en taux pour 1000</w:t>
      </w:r>
    </w:p>
    <w:p>
      <w:pPr>
        <w:pStyle w:val="BlockText"/>
      </w:pPr>
      <w:r>
        <w:rPr>
          <w:iCs/>
          <w:i/>
        </w:rPr>
        <w:t xml:space="preserve">Ex: il était de 9,1 pour 1000 habitants en 2019 en France (Source : Insee)</w:t>
      </w:r>
    </w:p>
    <w:bookmarkEnd w:id="52"/>
    <w:bookmarkStart w:id="53" w:name="taux-spécifiques-de-mortalité"/>
    <w:p>
      <w:pPr>
        <w:pStyle w:val="Heading2"/>
      </w:pPr>
      <w:r>
        <w:t xml:space="preserve">3.2 Taux spécifiques de mortalité</w:t>
      </w:r>
    </w:p>
    <w:p>
      <w:pPr>
        <w:numPr>
          <w:ilvl w:val="0"/>
          <w:numId w:val="1023"/>
        </w:numPr>
        <w:pStyle w:val="Compact"/>
      </w:pPr>
      <w:r>
        <w:t xml:space="preserve">Etablis en tenant compte d’un autre paramètre : par sexe, par tranches d’âges, par causes</w:t>
      </w:r>
    </w:p>
    <w:p>
      <w:pPr>
        <w:pStyle w:val="FirstParagraph"/>
      </w:pPr>
      <w:r>
        <w:t xml:space="preserve">Nombre de décès du sous−groupe pour une période donnée / Effectifs de la population du sous−groupe pendant la même période</w:t>
      </w:r>
    </w:p>
    <w:p>
      <w:pPr>
        <w:numPr>
          <w:ilvl w:val="0"/>
          <w:numId w:val="1024"/>
        </w:numPr>
        <w:pStyle w:val="Compact"/>
      </w:pPr>
      <w:r>
        <w:t xml:space="preserve">Exprimé en taux pour 1000</w:t>
      </w:r>
    </w:p>
    <w:p>
      <w:pPr>
        <w:numPr>
          <w:ilvl w:val="1"/>
          <w:numId w:val="1025"/>
        </w:numPr>
        <w:pStyle w:val="Compact"/>
      </w:pPr>
      <w:r>
        <w:t xml:space="preserve">Mortalité prématurée : survenant avant 65 ans</w:t>
      </w:r>
    </w:p>
    <w:p>
      <w:pPr>
        <w:numPr>
          <w:ilvl w:val="1"/>
          <w:numId w:val="1025"/>
        </w:numPr>
        <w:pStyle w:val="Compact"/>
      </w:pPr>
      <w:r>
        <w:t xml:space="preserve">Mortalité évitable : qui aurait pu être évitée</w:t>
      </w:r>
    </w:p>
    <w:p>
      <w:pPr>
        <w:pStyle w:val="BlockText"/>
      </w:pPr>
      <w:r>
        <w:rPr>
          <w:iCs/>
          <w:i/>
        </w:rPr>
        <w:t xml:space="preserve">Ex : Taux de mortalité infantile = 3,8 pour 1000 enfants nés vivants entre 2016 et 2018</w:t>
      </w:r>
    </w:p>
    <w:p>
      <w:pPr>
        <w:pStyle w:val="FirstParagraph"/>
      </w:pPr>
      <w:r>
        <w:t xml:space="preserve">Les taux spécifiques de mortalité : dans l’enfance et autour de la naissance</w:t>
      </w:r>
    </w:p>
    <w:p>
      <w:pPr>
        <w:pStyle w:val="BodyText"/>
      </w:pPr>
      <w:r>
        <w:t xml:space="preserve">img emfantile</w:t>
      </w:r>
    </w:p>
    <w:bookmarkEnd w:id="53"/>
    <w:bookmarkStart w:id="54" w:name="taux-de-létalité"/>
    <w:p>
      <w:pPr>
        <w:pStyle w:val="Heading2"/>
      </w:pPr>
      <w:r>
        <w:t xml:space="preserve">3.3 Taux de létalité</w:t>
      </w:r>
    </w:p>
    <w:p>
      <w:pPr>
        <w:numPr>
          <w:ilvl w:val="0"/>
          <w:numId w:val="1026"/>
        </w:numPr>
        <w:pStyle w:val="Compact"/>
      </w:pPr>
      <w:r>
        <w:t xml:space="preserve">Proportion de sujets qui, nouvellement atteints d’une maladie, en meurent</w:t>
      </w:r>
    </w:p>
    <w:p>
      <w:pPr>
        <w:numPr>
          <w:ilvl w:val="0"/>
          <w:numId w:val="1026"/>
        </w:numPr>
        <w:pStyle w:val="Compact"/>
      </w:pPr>
      <w:r>
        <w:t xml:space="preserve">Indice de gravité d’une maladie</w:t>
      </w:r>
    </w:p>
    <w:p>
      <w:pPr>
        <w:numPr>
          <w:ilvl w:val="0"/>
          <w:numId w:val="1026"/>
        </w:numPr>
        <w:pStyle w:val="Compact"/>
      </w:pPr>
      <w:r>
        <w:t xml:space="preserve">Létalité à x temps (à 28 jours, à un an, …)</w:t>
      </w:r>
    </w:p>
    <w:p>
      <w:pPr>
        <w:pStyle w:val="FirstParagraph"/>
      </w:pPr>
      <w:r>
        <w:t xml:space="preserve">Taux Létalité = Nbre de Décès dus à la pathologie P x temps après le début / Nbre de personnes nouvellement atteintes de la pathologie P</w:t>
      </w:r>
    </w:p>
    <w:bookmarkEnd w:id="54"/>
    <w:bookmarkStart w:id="55" w:name="lespérance-de-vie"/>
    <w:p>
      <w:pPr>
        <w:pStyle w:val="Heading2"/>
      </w:pPr>
      <w:r>
        <w:t xml:space="preserve">3.4 L’espérance de vie</w:t>
      </w:r>
    </w:p>
    <w:p>
      <w:pPr>
        <w:pStyle w:val="FirstParagraph"/>
      </w:pPr>
      <w:r>
        <w:t xml:space="preserve">L’espérance de vie à un âge donné est le nombre moyen d’années que peut espérer vivre une personne à partir de cet âge</w:t>
      </w:r>
    </w:p>
    <w:p>
      <w:pPr>
        <w:numPr>
          <w:ilvl w:val="0"/>
          <w:numId w:val="1027"/>
        </w:numPr>
        <w:pStyle w:val="Compact"/>
      </w:pPr>
      <w:r>
        <w:t xml:space="preserve">Si l’âge est 0, on parle d’espérance de vie à la naissance</w:t>
      </w:r>
    </w:p>
    <w:p>
      <w:pPr>
        <w:pStyle w:val="FirstParagraph"/>
      </w:pPr>
      <w:r>
        <w:t xml:space="preserve">En 2019, l’espérance de vie</w:t>
      </w:r>
    </w:p>
    <w:p>
      <w:pPr>
        <w:numPr>
          <w:ilvl w:val="0"/>
          <w:numId w:val="1028"/>
        </w:numPr>
        <w:pStyle w:val="Compact"/>
      </w:pPr>
      <w:r>
        <w:t xml:space="preserve">A la naissance en France était de 79,8 ans pour les hommes, de 85,7 ans pour les femmes</w:t>
      </w:r>
    </w:p>
    <w:p>
      <w:pPr>
        <w:numPr>
          <w:ilvl w:val="0"/>
          <w:numId w:val="1028"/>
        </w:numPr>
        <w:pStyle w:val="Compact"/>
      </w:pPr>
      <w:r>
        <w:t xml:space="preserve">A 65 ans cette espérance de vie était de 19,6 ans pour les hommes, 23,5 pour les femmes</w:t>
      </w:r>
    </w:p>
    <w:bookmarkEnd w:id="55"/>
    <w:bookmarkStart w:id="56" w:name="standardisation"/>
    <w:p>
      <w:pPr>
        <w:pStyle w:val="Heading2"/>
      </w:pPr>
      <w:r>
        <w:t xml:space="preserve">3.5 Standardisation</w:t>
      </w:r>
    </w:p>
    <w:p>
      <w:pPr>
        <w:pStyle w:val="FirstParagraph"/>
      </w:pPr>
      <w:r>
        <w:t xml:space="preserve">Taux comparatifs de décès (ou taux standardisés) = Taux de décès si la structure d’âge était la même dans tous les départements</w:t>
      </w:r>
    </w:p>
    <w:bookmarkEnd w:id="56"/>
    <w:bookmarkEnd w:id="57"/>
    <w:bookmarkStart w:id="61" w:name="indicateurs-de-morbidité"/>
    <w:p>
      <w:pPr>
        <w:pStyle w:val="Heading1"/>
      </w:pPr>
      <w:r>
        <w:t xml:space="preserve">4. Indicateurs de morbidité</w:t>
      </w:r>
    </w:p>
    <w:p>
      <w:pPr>
        <w:pStyle w:val="FirstParagraph"/>
      </w:pPr>
      <w:r>
        <w:t xml:space="preserve">Morbidité : nombre de personnes atteintes par une maladie</w:t>
      </w:r>
    </w:p>
    <w:p>
      <w:pPr>
        <w:numPr>
          <w:ilvl w:val="0"/>
          <w:numId w:val="1029"/>
        </w:numPr>
        <w:pStyle w:val="Compact"/>
      </w:pPr>
      <w:r>
        <w:t xml:space="preserve">Taux de morbidité : Fréquence d’une maladie</w:t>
      </w:r>
    </w:p>
    <w:p>
      <w:pPr>
        <w:numPr>
          <w:ilvl w:val="0"/>
          <w:numId w:val="1029"/>
        </w:numPr>
        <w:pStyle w:val="Compact"/>
      </w:pPr>
      <w:r>
        <w:t xml:space="preserve">Indicateurs de morbidité : - Prévalence - Incidence</w:t>
      </w:r>
    </w:p>
    <w:p>
      <w:pPr>
        <w:pStyle w:val="FirstParagraph"/>
      </w:pPr>
      <w:r>
        <w:t xml:space="preserve">Problèmes de la mesure de la morbidité</w:t>
      </w:r>
    </w:p>
    <w:p>
      <w:pPr>
        <w:numPr>
          <w:ilvl w:val="0"/>
          <w:numId w:val="1030"/>
        </w:numPr>
        <w:pStyle w:val="Compact"/>
      </w:pPr>
      <w:r>
        <w:t xml:space="preserve">Qu’est ce qu’une maladie? Quelle définition adopter?</w:t>
      </w:r>
    </w:p>
    <w:p>
      <w:pPr>
        <w:numPr>
          <w:ilvl w:val="0"/>
          <w:numId w:val="1030"/>
        </w:numPr>
        <w:pStyle w:val="Compact"/>
      </w:pPr>
      <w:r>
        <w:t xml:space="preserve">Quand commence une maladie? (ex: maladie d’Alzheimer)</w:t>
      </w:r>
    </w:p>
    <w:p>
      <w:pPr>
        <w:numPr>
          <w:ilvl w:val="0"/>
          <w:numId w:val="1030"/>
        </w:numPr>
        <w:pStyle w:val="Compact"/>
      </w:pPr>
      <w:r>
        <w:t xml:space="preserve">Quand finit une maladie?</w:t>
      </w:r>
    </w:p>
    <w:p>
      <w:pPr>
        <w:numPr>
          <w:ilvl w:val="0"/>
          <w:numId w:val="1030"/>
        </w:numPr>
        <w:pStyle w:val="Compact"/>
      </w:pPr>
      <w:r>
        <w:t xml:space="preserve">Comment mesurer cette morbidité? En interrogeant l’individu? Son médecin? En mesurant un paramètre?</w:t>
      </w:r>
    </w:p>
    <w:p>
      <w:pPr>
        <w:pStyle w:val="FirstParagraph"/>
      </w:pPr>
      <w:r>
        <w:t xml:space="preserve">Différents types :</w:t>
      </w:r>
    </w:p>
    <w:p>
      <w:pPr>
        <w:numPr>
          <w:ilvl w:val="0"/>
          <w:numId w:val="1031"/>
        </w:numPr>
        <w:pStyle w:val="Compact"/>
      </w:pPr>
      <w:r>
        <w:t xml:space="preserve">La morbidité ressentie</w:t>
      </w:r>
    </w:p>
    <w:p>
      <w:pPr>
        <w:numPr>
          <w:ilvl w:val="0"/>
          <w:numId w:val="1031"/>
        </w:numPr>
        <w:pStyle w:val="Compact"/>
      </w:pPr>
      <w:r>
        <w:t xml:space="preserve">La morbidité diagnostiquée : affections diagnostiquées par les médecins</w:t>
      </w:r>
    </w:p>
    <w:p>
      <w:pPr>
        <w:numPr>
          <w:ilvl w:val="0"/>
          <w:numId w:val="1031"/>
        </w:numPr>
        <w:pStyle w:val="Compact"/>
      </w:pPr>
      <w:r>
        <w:t xml:space="preserve">La morbidité objectivée : affections diagnostiquées à l’aide d’un examen systématique</w:t>
      </w:r>
    </w:p>
    <w:p>
      <w:pPr>
        <w:numPr>
          <w:ilvl w:val="0"/>
          <w:numId w:val="1031"/>
        </w:numPr>
        <w:pStyle w:val="Compact"/>
      </w:pPr>
      <w:r>
        <w:t xml:space="preserve">La morbidité déclarée</w:t>
      </w:r>
    </w:p>
    <w:p>
      <w:pPr>
        <w:pStyle w:val="FirstParagraph"/>
      </w:pPr>
      <w:r>
        <w:t xml:space="preserve">Évolution de la connaissance (A) et de la part traitée et contrôlée de l’hypertension artérielle (HTA) (B) chez les personnes hypertendues entre ENNS 2006 et Esteban 2015, en fonction du sexe.</w:t>
      </w:r>
    </w:p>
    <w:p>
      <w:pPr>
        <w:pStyle w:val="BodyText"/>
      </w:pPr>
      <w:r>
        <w:t xml:space="preserve">img hta</w:t>
      </w:r>
    </w:p>
    <w:p>
      <w:pPr>
        <w:pStyle w:val="BodyText"/>
      </w:pPr>
      <w:r>
        <w:t xml:space="preserve">img comparatif incidence/prévalence</w:t>
      </w:r>
    </w:p>
    <w:bookmarkStart w:id="58" w:name="incidence"/>
    <w:p>
      <w:pPr>
        <w:pStyle w:val="Heading2"/>
      </w:pPr>
      <w:r>
        <w:t xml:space="preserve">4.1 Incidence</w:t>
      </w:r>
    </w:p>
    <w:p>
      <w:pPr>
        <w:numPr>
          <w:ilvl w:val="0"/>
          <w:numId w:val="1032"/>
        </w:numPr>
        <w:pStyle w:val="Compact"/>
      </w:pPr>
      <w:r>
        <w:t xml:space="preserve">Nombre de nouveaux cas d’une maladie survenant au sein d’une population</w:t>
      </w:r>
    </w:p>
    <w:p>
      <w:pPr>
        <w:numPr>
          <w:ilvl w:val="0"/>
          <w:numId w:val="1032"/>
        </w:numPr>
        <w:pStyle w:val="Compact"/>
      </w:pPr>
      <w:r>
        <w:t xml:space="preserve">Mesure longitudinale</w:t>
      </w:r>
    </w:p>
    <w:p>
      <w:pPr>
        <w:numPr>
          <w:ilvl w:val="0"/>
          <w:numId w:val="1032"/>
        </w:numPr>
        <w:pStyle w:val="Compact"/>
      </w:pPr>
      <w:r>
        <w:t xml:space="preserve">Reflète la vitesse d’apparition d’une maladie dans une population</w:t>
      </w:r>
    </w:p>
    <w:p>
      <w:pPr>
        <w:pStyle w:val="FirstParagraph"/>
      </w:pPr>
      <w:r>
        <w:t xml:space="preserve">Calcul du taux d’incidence : I = N/PT</w:t>
      </w:r>
    </w:p>
    <w:p>
      <w:pPr>
        <w:pStyle w:val="BodyText"/>
      </w:pPr>
      <w:r>
        <w:t xml:space="preserve">I : taux d’incidence</w:t>
      </w:r>
      <w:r>
        <w:t xml:space="preserve"> </w:t>
      </w:r>
      <w:r>
        <w:t xml:space="preserve">N : nombre de nouveaux cas de la maladie constatés dans la population étudiée pendant la période de temps considérée</w:t>
      </w:r>
      <w:r>
        <w:t xml:space="preserve"> </w:t>
      </w:r>
      <w:r>
        <w:t xml:space="preserve">PT : nombre de personnes-temps à risque calculé dans la population étudiée pendant la période de temps considérée</w:t>
      </w:r>
    </w:p>
    <w:bookmarkEnd w:id="58"/>
    <w:bookmarkStart w:id="59" w:name="prévalence"/>
    <w:p>
      <w:pPr>
        <w:pStyle w:val="Heading2"/>
      </w:pPr>
      <w:r>
        <w:t xml:space="preserve">4.2 Prévalence</w:t>
      </w:r>
    </w:p>
    <w:p>
      <w:pPr>
        <w:numPr>
          <w:ilvl w:val="0"/>
          <w:numId w:val="1033"/>
        </w:numPr>
        <w:pStyle w:val="Compact"/>
      </w:pPr>
      <w:r>
        <w:t xml:space="preserve">Pourcentage d’individus malades dans une population à un moment donné</w:t>
      </w:r>
    </w:p>
    <w:p>
      <w:pPr>
        <w:numPr>
          <w:ilvl w:val="0"/>
          <w:numId w:val="1033"/>
        </w:numPr>
        <w:pStyle w:val="Compact"/>
      </w:pPr>
      <w:r>
        <w:t xml:space="preserve">Mesure transversale</w:t>
      </w:r>
    </w:p>
    <w:p>
      <w:pPr>
        <w:numPr>
          <w:ilvl w:val="0"/>
          <w:numId w:val="1033"/>
        </w:numPr>
        <w:pStyle w:val="Compact"/>
      </w:pPr>
      <w:r>
        <w:t xml:space="preserve">Dépend de l’incidence et de la durée d’évolution de la maladie : plus elles augmentent plus la prévalence augmente</w:t>
      </w:r>
    </w:p>
    <w:p>
      <w:pPr>
        <w:pStyle w:val="FirstParagraph"/>
      </w:pPr>
      <w:r>
        <w:t xml:space="preserve">Calcul de la prévalence : P = n/N</w:t>
      </w:r>
    </w:p>
    <w:p>
      <w:pPr>
        <w:pStyle w:val="BodyText"/>
      </w:pPr>
      <w:r>
        <w:t xml:space="preserve">P : prévalence</w:t>
      </w:r>
      <w:r>
        <w:t xml:space="preserve"> </w:t>
      </w:r>
      <w:r>
        <w:t xml:space="preserve">n : nombre de malades dans la population étudiée à un instant t</w:t>
      </w:r>
      <w:r>
        <w:t xml:space="preserve"> </w:t>
      </w:r>
      <w:r>
        <w:t xml:space="preserve">N : effectif total de la population étudiée</w:t>
      </w:r>
    </w:p>
    <w:bookmarkEnd w:id="59"/>
    <w:bookmarkStart w:id="60" w:name="différence-entre-incidence-et-prévalence"/>
    <w:p>
      <w:pPr>
        <w:pStyle w:val="Heading2"/>
      </w:pPr>
      <w:r>
        <w:t xml:space="preserve">4.3 Différence entre incidence et prévalence</w:t>
      </w:r>
    </w:p>
    <w:p>
      <w:pPr>
        <w:pStyle w:val="FirstParagraph"/>
      </w:pPr>
      <w:r>
        <w:t xml:space="preserve">Infection à VIH : incidence, prévalence et mortalité</w:t>
      </w:r>
    </w:p>
    <w:p>
      <w:pPr>
        <w:pStyle w:val="BodyText"/>
      </w:pPr>
      <w:r>
        <w:t xml:space="preserve">img courbes</w:t>
      </w:r>
    </w:p>
    <w:bookmarkEnd w:id="60"/>
    <w:bookmarkEnd w:id="61"/>
    <w:bookmarkStart w:id="67" w:name="recueils-systématiques"/>
    <w:p>
      <w:pPr>
        <w:pStyle w:val="Heading1"/>
      </w:pPr>
      <w:r>
        <w:t xml:space="preserve">5. Recueils systématiques</w:t>
      </w:r>
    </w:p>
    <w:p>
      <w:pPr>
        <w:pStyle w:val="FirstParagraph"/>
      </w:pPr>
      <w:r>
        <w:t xml:space="preserve">56 liste</w:t>
      </w:r>
    </w:p>
    <w:bookmarkStart w:id="62" w:name="certificat-de-décès"/>
    <w:p>
      <w:pPr>
        <w:pStyle w:val="Heading2"/>
      </w:pPr>
      <w:r>
        <w:t xml:space="preserve">5.1 Certificat de décès</w:t>
      </w:r>
    </w:p>
    <w:p>
      <w:pPr>
        <w:pStyle w:val="FirstParagraph"/>
      </w:pPr>
      <w:r>
        <w:t xml:space="preserve">57-62</w:t>
      </w:r>
    </w:p>
    <w:bookmarkEnd w:id="62"/>
    <w:bookmarkStart w:id="63" w:name="déclaration-obligatoire"/>
    <w:p>
      <w:pPr>
        <w:pStyle w:val="Heading2"/>
      </w:pPr>
      <w:r>
        <w:t xml:space="preserve">5.2 Déclaration obligatoire</w:t>
      </w:r>
    </w:p>
    <w:p>
      <w:pPr>
        <w:pStyle w:val="FirstParagraph"/>
      </w:pPr>
      <w:r>
        <w:t xml:space="preserve">63-69</w:t>
      </w:r>
    </w:p>
    <w:bookmarkEnd w:id="63"/>
    <w:bookmarkStart w:id="64" w:name="systèmes-sentinelles"/>
    <w:p>
      <w:pPr>
        <w:pStyle w:val="Heading2"/>
      </w:pPr>
      <w:r>
        <w:t xml:space="preserve">5.3 Systèmes sentinelles</w:t>
      </w:r>
    </w:p>
    <w:p>
      <w:pPr>
        <w:pStyle w:val="FirstParagraph"/>
      </w:pPr>
      <w:r>
        <w:t xml:space="preserve">70-75</w:t>
      </w:r>
    </w:p>
    <w:bookmarkEnd w:id="64"/>
    <w:bookmarkStart w:id="65" w:name="bases-de-données-médico-administratives"/>
    <w:p>
      <w:pPr>
        <w:pStyle w:val="Heading2"/>
      </w:pPr>
      <w:r>
        <w:t xml:space="preserve">5.4 Bases de données médico-administratives</w:t>
      </w:r>
    </w:p>
    <w:p>
      <w:pPr>
        <w:pStyle w:val="FirstParagraph"/>
      </w:pPr>
      <w:r>
        <w:t xml:space="preserve">76</w:t>
      </w:r>
    </w:p>
    <w:bookmarkEnd w:id="65"/>
    <w:bookmarkStart w:id="66" w:name="limites"/>
    <w:p>
      <w:pPr>
        <w:pStyle w:val="Heading2"/>
      </w:pPr>
      <w:r>
        <w:t xml:space="preserve">5.5 Limites</w:t>
      </w:r>
    </w:p>
    <w:p>
      <w:pPr>
        <w:pStyle w:val="FirstParagraph"/>
      </w:pPr>
      <w:r>
        <w:t xml:space="preserve">77</w:t>
      </w:r>
    </w:p>
    <w:bookmarkEnd w:id="66"/>
    <w:bookmarkEnd w:id="67"/>
    <w:bookmarkStart w:id="74" w:name="enquêtes-ad-hoc"/>
    <w:p>
      <w:pPr>
        <w:pStyle w:val="Heading1"/>
      </w:pPr>
      <w:r>
        <w:t xml:space="preserve">6. Enquêtes ad hoc</w:t>
      </w:r>
    </w:p>
    <w:p>
      <w:pPr>
        <w:numPr>
          <w:ilvl w:val="0"/>
          <w:numId w:val="1034"/>
        </w:numPr>
        <w:pStyle w:val="Compact"/>
      </w:pPr>
      <w:r>
        <w:t xml:space="preserve">Enquête réalisée spécialement pour répondre à un besoin d’information sur un sujet précis</w:t>
      </w:r>
    </w:p>
    <w:p>
      <w:pPr>
        <w:numPr>
          <w:ilvl w:val="0"/>
          <w:numId w:val="1034"/>
        </w:numPr>
        <w:pStyle w:val="Compact"/>
      </w:pPr>
      <w:r>
        <w:t xml:space="preserve">Quand aucune statistique recueillie en routine n’existe</w:t>
      </w:r>
    </w:p>
    <w:p>
      <w:pPr>
        <w:numPr>
          <w:ilvl w:val="0"/>
          <w:numId w:val="1034"/>
        </w:numPr>
        <w:pStyle w:val="Compact"/>
      </w:pPr>
      <w:r>
        <w:t xml:space="preserve">Si la pathologie s’y prête</w:t>
      </w:r>
    </w:p>
    <w:p>
      <w:pPr>
        <w:pStyle w:val="FirstParagraph"/>
      </w:pPr>
      <w:r>
        <w:t xml:space="preserve">organigramme</w:t>
      </w:r>
    </w:p>
    <w:bookmarkStart w:id="71" w:name="terminologie"/>
    <w:p>
      <w:pPr>
        <w:pStyle w:val="Heading2"/>
      </w:pPr>
      <w:r>
        <w:t xml:space="preserve">6.1 Terminologie</w:t>
      </w:r>
    </w:p>
    <w:tbl>
      <w:tblPr>
        <w:tblStyle w:val="Table"/>
        <w:tblW w:type="pct" w:w="4995"/>
        <w:tblLook w:firstRow="0" w:lastRow="0" w:firstColumn="0" w:lastColumn="0" w:noHBand="0" w:noVBand="0" w:val="0000"/>
        <w:jc w:val="start"/>
        <w:tblLayout w:type="fixed"/>
      </w:tblPr>
      <w:tblGrid>
        <w:gridCol w:w="2637"/>
        <w:gridCol w:w="2637"/>
        <w:gridCol w:w="2637"/>
      </w:tblGrid>
      <w:tr>
        <w:tc>
          <w:tcPr/>
          <w:p>
            <w:pPr>
              <w:jc w:val="left"/>
            </w:pPr>
            <w:pPr>
              <w:jc w:val="center"/>
              <w:spacing w:before="200"/>
              <w:pStyle w:val="ImageCaption"/>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center"/>
                    <w:jc w:val="left"/>
                  </w:pPr>
                  <w:r>
                    <w:t xml:space="preserve">Population</w:t>
                  </w:r>
                </w:p>
              </w:tc>
            </w:tr>
            <w:tr>
              <w:tc>
                <w:tcPr/>
                <w:p>
                  <w:pPr>
                    <w:pStyle w:val="Compact"/>
                    <w:jc w:val="center"/>
                    <w:jc w:val="left"/>
                  </w:pPr>
                  <w:r>
                    <w:t xml:space="preserve">Exhaustive</w:t>
                  </w:r>
                </w:p>
              </w:tc>
            </w:tr>
            <w:tr>
              <w:tc>
                <w:tcPr/>
                <w:p>
                  <w:pPr>
                    <w:pStyle w:val="Compact"/>
                    <w:jc w:val="center"/>
                    <w:jc w:val="left"/>
                  </w:pPr>
                  <w:r>
                    <w:t xml:space="preserve">Représentative</w:t>
                  </w:r>
                </w:p>
              </w:tc>
            </w:tr>
          </w:tbl>
          <w:p/>
        </w:tc>
        <w:tc>
          <w:tcPr/>
          <w:p>
            <w:pPr>
              <w:jc w:val="left"/>
            </w:pPr>
            <w:r>
              <w:t xml:space="preserve"> </w:t>
            </w:r>
          </w:p>
        </w:tc>
        <w:tc>
          <w:tcPr/>
          <w:p>
            <w:pPr>
              <w:jc w:val="left"/>
            </w:pPr>
            <w:pPr>
              <w:jc w:val="center"/>
              <w:spacing w:before="200"/>
              <w:pStyle w:val="ImageCaption"/>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center"/>
                    <w:jc w:val="left"/>
                  </w:pPr>
                  <w:r>
                    <w:t xml:space="preserve">Durée</w:t>
                  </w:r>
                </w:p>
              </w:tc>
            </w:tr>
            <w:tr>
              <w:tc>
                <w:tcPr/>
                <w:p>
                  <w:pPr>
                    <w:pStyle w:val="Compact"/>
                    <w:jc w:val="center"/>
                    <w:jc w:val="left"/>
                  </w:pPr>
                  <w:r>
                    <w:t xml:space="preserve">Transversale</w:t>
                  </w:r>
                </w:p>
              </w:tc>
            </w:tr>
            <w:tr>
              <w:tc>
                <w:tcPr/>
                <w:p>
                  <w:pPr>
                    <w:pStyle w:val="Compact"/>
                    <w:jc w:val="center"/>
                    <w:jc w:val="left"/>
                  </w:pPr>
                  <w:r>
                    <w:t xml:space="preserve">Longitudinale</w:t>
                  </w:r>
                </w:p>
              </w:tc>
            </w:tr>
          </w:tbl>
          <w:p/>
        </w:tc>
      </w:tr>
    </w:tbl>
    <w:p>
      <w:pPr>
        <w:framePr w:w="0" w:h="0" w:vAnchor="margin" w:hAnchor="margin" w:xAlign="right" w:yAlign="top"/>
      </w:pPr>
    </w:p>
    <w:tbl>
      <w:tblPr>
        <w:tblStyle w:val="Table"/>
        <w:tblW w:type="pct" w:w="3330"/>
        <w:tblLook w:firstRow="0" w:lastRow="0" w:firstColumn="0" w:lastColumn="0" w:noHBand="0" w:noVBand="0" w:val="0000"/>
        <w:jc w:val="start"/>
        <w:tblLayout w:type="fixed"/>
      </w:tblPr>
      <w:tblGrid>
        <w:gridCol w:w="2637"/>
        <w:gridCol w:w="2637"/>
      </w:tblGrid>
      <w:tr>
        <w:tc>
          <w:tcPr/>
          <w:p>
            <w:pPr>
              <w:jc w:val="left"/>
            </w:pPr>
            <w:r>
              <w:t xml:space="preserve"> </w:t>
            </w:r>
          </w:p>
        </w:tc>
        <w:tc>
          <w:tcPr/>
          <w:p>
            <w:pPr>
              <w:jc w:val="left"/>
            </w:pPr>
            <w:pPr>
              <w:jc w:val="center"/>
              <w:spacing w:before="200"/>
              <w:pStyle w:val="ImageCaption"/>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center"/>
                    <w:jc w:val="left"/>
                  </w:pPr>
                  <w:r>
                    <w:t xml:space="preserve">Chronologie</w:t>
                  </w:r>
                </w:p>
              </w:tc>
            </w:tr>
            <w:tr>
              <w:tc>
                <w:tcPr/>
                <w:p>
                  <w:pPr>
                    <w:pStyle w:val="Compact"/>
                    <w:jc w:val="center"/>
                    <w:jc w:val="left"/>
                  </w:pPr>
                  <w:r>
                    <w:t xml:space="preserve">Rétrospective</w:t>
                  </w:r>
                </w:p>
              </w:tc>
            </w:tr>
            <w:tr>
              <w:tc>
                <w:tcPr/>
                <w:p>
                  <w:pPr>
                    <w:pStyle w:val="Compact"/>
                    <w:jc w:val="center"/>
                    <w:jc w:val="left"/>
                  </w:pPr>
                  <w:r>
                    <w:t xml:space="preserve">Prospective</w:t>
                  </w:r>
                </w:p>
              </w:tc>
            </w:tr>
          </w:tbl>
          <w:p/>
        </w:tc>
      </w:tr>
    </w:tbl>
    <w:bookmarkStart w:id="68" w:name="population"/>
    <w:p>
      <w:pPr>
        <w:pStyle w:val="Heading3"/>
      </w:pPr>
      <w:r>
        <w:t xml:space="preserve">6.1.1 Population</w:t>
      </w:r>
    </w:p>
    <w:p>
      <w:pPr>
        <w:pStyle w:val="FirstParagraph"/>
      </w:pPr>
      <w:r>
        <w:t xml:space="preserve">Le recueil d’information dans une population peut être réalisé de deux manières.</w:t>
      </w:r>
    </w:p>
    <w:p>
      <w:pPr>
        <w:pStyle w:val="BodyText"/>
      </w:pPr>
      <w:r>
        <w:t xml:space="preserve">On a recueilli l’information de</w:t>
      </w:r>
      <w:r>
        <w:t xml:space="preserve"> </w:t>
      </w:r>
      <w:r>
        <w:t xml:space="preserve">tous</w:t>
      </w:r>
      <w:r>
        <w:t xml:space="preserve"> </w:t>
      </w:r>
      <w:r>
        <w:t xml:space="preserve">les individus qui constituent la population.</w:t>
      </w:r>
      <w:r>
        <w:t xml:space="preserve"> </w:t>
      </w:r>
      <w:r>
        <w:t xml:space="preserve">Dans ce cas on parle d’</w:t>
      </w:r>
      <w:r>
        <w:t xml:space="preserve">exhaustivité</w:t>
      </w:r>
      <w:r>
        <w:t xml:space="preserve">.</w:t>
      </w:r>
    </w:p>
    <w:p>
      <w:pPr>
        <w:pStyle w:val="BodyText"/>
      </w:pPr>
      <w:r>
        <w:t xml:space="preserve">Parfois il n’est pas possible d’avoir accès à l’ensemble d’une population (effectifs trop grands, manque de moyens…)</w:t>
      </w:r>
    </w:p>
    <w:p>
      <w:pPr>
        <w:pStyle w:val="BodyText"/>
      </w:pPr>
      <w:r>
        <w:t xml:space="preserve">Un échantillon est dit</w:t>
      </w:r>
      <w:r>
        <w:t xml:space="preserve"> </w:t>
      </w:r>
      <w:r>
        <w:t xml:space="preserve">représentatif</w:t>
      </w:r>
      <w:r>
        <w:t xml:space="preserve"> </w:t>
      </w:r>
      <w:r>
        <w:t xml:space="preserve">s’il est le reflet de la population dont il est issu.</w:t>
      </w:r>
    </w:p>
    <w:p>
      <w:pPr>
        <w:pStyle w:val="BodyText"/>
      </w:pPr>
      <w:r>
        <w:t xml:space="preserve">Exemple : liste électorale</w:t>
      </w:r>
    </w:p>
    <w:p>
      <w:pPr>
        <w:pStyle w:val="BodyText"/>
      </w:pPr>
      <w:r>
        <w:t xml:space="preserve">Cette méthode permet de réduire les</w:t>
      </w:r>
      <w:r>
        <w:t xml:space="preserve"> </w:t>
      </w:r>
      <w:r>
        <w:rPr>
          <w:iCs/>
          <w:i/>
        </w:rPr>
        <w:t xml:space="preserve">biais de sélection</w:t>
      </w:r>
      <w:r>
        <w:t xml:space="preserve"> </w:t>
      </w:r>
      <w:r>
        <w:t xml:space="preserve">(</w:t>
      </w:r>
      <w:hyperlink w:anchor="sec-biais-sel">
        <w:r>
          <w:rPr>
            <w:rStyle w:val="Hyperlink"/>
          </w:rPr>
          <w:t xml:space="preserve">Section 9.1</w:t>
        </w:r>
      </w:hyperlink>
      <w:r>
        <w:t xml:space="preserve">)</w:t>
      </w:r>
    </w:p>
    <w:bookmarkEnd w:id="68"/>
    <w:bookmarkStart w:id="69" w:name="durée"/>
    <w:p>
      <w:pPr>
        <w:pStyle w:val="Heading3"/>
      </w:pPr>
      <w:r>
        <w:t xml:space="preserve">6.1.2 Durée</w:t>
      </w:r>
    </w:p>
    <w:bookmarkEnd w:id="69"/>
    <w:bookmarkStart w:id="70" w:name="chronologie"/>
    <w:p>
      <w:pPr>
        <w:pStyle w:val="Heading3"/>
      </w:pPr>
      <w:r>
        <w:t xml:space="preserve">6.1.3 Chronologie</w:t>
      </w:r>
    </w:p>
    <w:bookmarkEnd w:id="70"/>
    <w:bookmarkEnd w:id="71"/>
    <w:bookmarkStart w:id="72" w:name="types-denquêtes"/>
    <w:p>
      <w:pPr>
        <w:pStyle w:val="Heading2"/>
      </w:pPr>
      <w:r>
        <w:t xml:space="preserve">6.2 Types d’enquêtes</w:t>
      </w:r>
    </w:p>
    <w:p>
      <w:pPr>
        <w:pStyle w:val="FirstParagraph"/>
      </w:pPr>
      <w:r>
        <w:t xml:space="preserve">82-89</w:t>
      </w:r>
    </w:p>
    <w:bookmarkEnd w:id="72"/>
    <w:bookmarkStart w:id="73" w:name="en-bref-2"/>
    <w:p>
      <w:pPr>
        <w:pStyle w:val="Heading2"/>
      </w:pPr>
      <w:r>
        <w:t xml:space="preserve">6.3 En bref</w:t>
      </w:r>
    </w:p>
    <w:bookmarkEnd w:id="73"/>
    <w:bookmarkEnd w:id="74"/>
    <w:bookmarkStart w:id="75" w:name="qualité-des-sources"/>
    <w:p>
      <w:pPr>
        <w:pStyle w:val="Heading1"/>
      </w:pPr>
      <w:r>
        <w:t xml:space="preserve">7. Qualité des sources</w:t>
      </w:r>
    </w:p>
    <w:p>
      <w:pPr>
        <w:pStyle w:val="FirstParagraph"/>
      </w:pPr>
      <w:r>
        <w:t xml:space="preserve">3 grands types de problèmes :</w:t>
      </w:r>
    </w:p>
    <w:p>
      <w:pPr>
        <w:numPr>
          <w:ilvl w:val="0"/>
          <w:numId w:val="1035"/>
        </w:numPr>
        <w:pStyle w:val="Compact"/>
      </w:pPr>
      <w:r>
        <w:t xml:space="preserve">Erreur de diagnostic : Malade non reconnu comme tel (sous-estimation)</w:t>
      </w:r>
    </w:p>
    <w:p>
      <w:pPr>
        <w:numPr>
          <w:ilvl w:val="0"/>
          <w:numId w:val="1035"/>
        </w:numPr>
        <w:pStyle w:val="Compact"/>
      </w:pPr>
      <w:r>
        <w:t xml:space="preserve">Non exhaustivité : Malade connu comme tel mais non enregistré par la source (sous-estimation)</w:t>
      </w:r>
    </w:p>
    <w:p>
      <w:pPr>
        <w:numPr>
          <w:ilvl w:val="0"/>
          <w:numId w:val="1035"/>
        </w:numPr>
        <w:pStyle w:val="Compact"/>
      </w:pPr>
      <w:r>
        <w:t xml:space="preserve">Doublons : Le malade est connu mais enregistré plusieurs fois (surestimation)</w:t>
      </w:r>
    </w:p>
    <w:p>
      <w:pPr>
        <w:pStyle w:val="FirstParagraph"/>
      </w:pPr>
      <w:r>
        <w:t xml:space="preserve">Les mesures estimées sur l’échantillon peuvent s’écarter des valeurs «réelles» auxquelles nous n’avons pas accès, par 2 mécanismes :</w:t>
      </w:r>
    </w:p>
    <w:p>
      <w:pPr>
        <w:numPr>
          <w:ilvl w:val="0"/>
          <w:numId w:val="1036"/>
        </w:numPr>
        <w:pStyle w:val="Compact"/>
      </w:pPr>
      <w:r>
        <w:t xml:space="preserve">Les</w:t>
      </w:r>
      <w:r>
        <w:t xml:space="preserve"> </w:t>
      </w:r>
      <w:r>
        <w:t xml:space="preserve">fluctuations d’échantillonnage</w:t>
      </w:r>
      <w:r>
        <w:t xml:space="preserve">, liées au hasard (</w:t>
      </w:r>
      <w:hyperlink w:anchor="sec-fluct">
        <w:r>
          <w:rPr>
            <w:rStyle w:val="Hyperlink"/>
          </w:rPr>
          <w:t xml:space="preserve">Chapitre 8</w:t>
        </w:r>
      </w:hyperlink>
      <w:r>
        <w:t xml:space="preserve">)</w:t>
      </w:r>
    </w:p>
    <w:p>
      <w:pPr>
        <w:numPr>
          <w:ilvl w:val="0"/>
          <w:numId w:val="1036"/>
        </w:numPr>
        <w:pStyle w:val="Compact"/>
      </w:pPr>
      <w:r>
        <w:t xml:space="preserve">Les</w:t>
      </w:r>
      <w:r>
        <w:t xml:space="preserve"> </w:t>
      </w:r>
      <w:r>
        <w:t xml:space="preserve">biais</w:t>
      </w:r>
      <w:r>
        <w:t xml:space="preserve">, sources de variabilité et d’erreurs prévisibles (</w:t>
      </w:r>
      <w:hyperlink w:anchor="sec-biais">
        <w:r>
          <w:rPr>
            <w:rStyle w:val="Hyperlink"/>
          </w:rPr>
          <w:t xml:space="preserve">Chapitre 9</w:t>
        </w:r>
      </w:hyperlink>
      <w:r>
        <w:t xml:space="preserve">)</w:t>
      </w:r>
    </w:p>
    <w:bookmarkEnd w:id="75"/>
    <w:bookmarkStart w:id="80" w:name="sec-fluct"/>
    <w:p>
      <w:pPr>
        <w:pStyle w:val="Heading1"/>
      </w:pPr>
      <w:r>
        <w:t xml:space="preserve">8. Fluctuations d’échantillonnage</w:t>
      </w:r>
    </w:p>
    <w:p>
      <w:pPr>
        <w:numPr>
          <w:ilvl w:val="0"/>
          <w:numId w:val="1037"/>
        </w:numPr>
        <w:pStyle w:val="Compact"/>
      </w:pPr>
      <w:r>
        <w:t xml:space="preserve">Erreurs aléatoires liées au hasard</w:t>
      </w:r>
    </w:p>
    <w:p>
      <w:pPr>
        <w:numPr>
          <w:ilvl w:val="0"/>
          <w:numId w:val="1037"/>
        </w:numPr>
        <w:pStyle w:val="Compact"/>
      </w:pPr>
      <w:r>
        <w:t xml:space="preserve">Diminuent en augmentant la taille de l’échantillon</w:t>
      </w:r>
    </w:p>
    <w:p>
      <w:pPr>
        <w:numPr>
          <w:ilvl w:val="0"/>
          <w:numId w:val="1037"/>
        </w:numPr>
        <w:pStyle w:val="Compact"/>
      </w:pPr>
      <w:r>
        <w:t xml:space="preserve">Prises en compte dans la présentation des résultats : Intervalle de confiance à 95%</w:t>
      </w:r>
    </w:p>
    <w:bookmarkStart w:id="76" w:name="maitriser-lincertitude"/>
    <w:p>
      <w:pPr>
        <w:pStyle w:val="Heading2"/>
      </w:pPr>
      <w:r>
        <w:t xml:space="preserve">8.1 Maitriser l’incertitude</w:t>
      </w:r>
    </w:p>
    <w:p>
      <w:pPr>
        <w:pStyle w:val="FirstParagraph"/>
      </w:pPr>
      <w:r>
        <w:t xml:space="preserve">Intervalle de confiance à 95% d’une prévalence</w:t>
      </w:r>
    </w:p>
    <w:p>
      <w:pPr>
        <w:pStyle w:val="BodyText"/>
      </w:pPr>
      <w:r>
        <w:t xml:space="preserve">p= Nombre de malades dans la population / Effectif total de la population</w:t>
      </w:r>
    </w:p>
    <w:p>
      <w:pPr>
        <w:pStyle w:val="BodyText"/>
      </w:pPr>
      <w:r>
        <w:t xml:space="preserve">Si Np et N(1-p) &gt; 5, alors IC95% = p ±1.96× p (1−p)/N</w:t>
      </w:r>
    </w:p>
    <w:p>
      <w:pPr>
        <w:pStyle w:val="BodyText"/>
      </w:pPr>
      <w:r>
        <w:t xml:space="preserve">IC95% = intervalle de confiance à 95%</w:t>
      </w:r>
      <w:r>
        <w:t xml:space="preserve"> </w:t>
      </w:r>
      <w:r>
        <w:t xml:space="preserve">p = prévalence</w:t>
      </w:r>
      <w:r>
        <w:t xml:space="preserve"> </w:t>
      </w:r>
      <w:r>
        <w:t xml:space="preserve">N = nombre total de sujet</w:t>
      </w:r>
    </w:p>
    <w:p>
      <w:pPr>
        <w:pStyle w:val="BodyText"/>
      </w:pPr>
      <w:r>
        <w:t xml:space="preserve">Exemple : intervalle de confiance à 95% d’une prévalence</w:t>
      </w:r>
    </w:p>
    <w:p>
      <w:pPr>
        <w:pStyle w:val="BodyText"/>
      </w:pPr>
      <w:r>
        <w:t xml:space="preserve">Une maladie a une prévalence de 20% dans un échantillon de 100 personnes tirées au sort en population générale 0,20 x 0,80</w:t>
      </w:r>
    </w:p>
    <w:p>
      <w:pPr>
        <w:numPr>
          <w:ilvl w:val="0"/>
          <w:numId w:val="1038"/>
        </w:numPr>
        <w:pStyle w:val="Compact"/>
      </w:pPr>
      <w:r>
        <w:t xml:space="preserve">BsupIC95% = 0,20 +1.96 x 100 = 0,28 0,20 x 0,80</w:t>
      </w:r>
    </w:p>
    <w:p>
      <w:pPr>
        <w:numPr>
          <w:ilvl w:val="0"/>
          <w:numId w:val="1038"/>
        </w:numPr>
        <w:pStyle w:val="Compact"/>
      </w:pPr>
      <w:r>
        <w:t xml:space="preserve">BInfIC95% = 0,20 -1.96 x 100 = 0,12</w:t>
      </w:r>
    </w:p>
    <w:p>
      <w:pPr>
        <w:pStyle w:val="FirstParagraph"/>
      </w:pPr>
      <w:r>
        <w:t xml:space="preserve">Interprétation : dans la population générale, il y a 95% de chance pour que la vraie prévalence de la maladie soit comprise entre 12 et 28% IC95% [0,12 – 0,28]</w:t>
      </w:r>
    </w:p>
    <w:bookmarkEnd w:id="76"/>
    <w:bookmarkStart w:id="79" w:name="en-bref-3"/>
    <w:p>
      <w:pPr>
        <w:pStyle w:val="Heading2"/>
      </w:pPr>
      <w:r>
        <w:t xml:space="preserve">8.2 En bref</w:t>
      </w:r>
    </w:p>
    <w:p>
      <w:pPr>
        <w:numPr>
          <w:ilvl w:val="0"/>
          <w:numId w:val="1039"/>
        </w:numPr>
        <w:pStyle w:val="Compact"/>
      </w:pPr>
      <w:r>
        <w:t xml:space="preserve">Erreurs aléatoires</w:t>
      </w:r>
    </w:p>
    <w:p>
      <w:pPr>
        <w:numPr>
          <w:ilvl w:val="0"/>
          <w:numId w:val="1039"/>
        </w:numPr>
        <w:pStyle w:val="Compact"/>
      </w:pPr>
      <w:r>
        <w:t xml:space="preserve">Diminuent en augmentant la taille de l’échantillon</w:t>
      </w:r>
    </w:p>
    <w:p>
      <w:pPr>
        <w:numPr>
          <w:ilvl w:val="0"/>
          <w:numId w:val="1039"/>
        </w:numPr>
        <w:pStyle w:val="Compact"/>
      </w:pPr>
      <w:r>
        <w:t xml:space="preserve">Justifient la réalisation de tests statistiques</w:t>
      </w:r>
    </w:p>
    <w:p>
      <w:pPr>
        <w:numPr>
          <w:ilvl w:val="0"/>
          <w:numId w:val="1039"/>
        </w:numPr>
        <w:pStyle w:val="Compact"/>
      </w:pPr>
      <w:r>
        <w:t xml:space="preserve">Prises en compte dans la présentation des résultats (intervalle de confiance)</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Cs/>
                <w:b/>
              </w:rPr>
              <w:t xml:space="preserve">Question</w:t>
            </w:r>
          </w:p>
        </w:tc>
      </w:tr>
    </w:tbl>
    <w:bookmarkEnd w:id="79"/>
    <w:bookmarkEnd w:id="80"/>
    <w:bookmarkStart w:id="87" w:name="sec-biais"/>
    <w:p>
      <w:pPr>
        <w:pStyle w:val="Heading1"/>
      </w:pPr>
      <w:r>
        <w:t xml:space="preserve">9. Biais</w:t>
      </w:r>
    </w:p>
    <w:p>
      <w:pPr>
        <w:pStyle w:val="FirstParagraph"/>
      </w:pPr>
      <w:r>
        <w:t xml:space="preserve">Erreur ou écart systématique présentant une direction privilégiée et prévisible</w:t>
      </w:r>
    </w:p>
    <w:p>
      <w:pPr>
        <w:pStyle w:val="BodyText"/>
      </w:pPr>
      <w:r>
        <w:t xml:space="preserve">Conséquences :</w:t>
      </w:r>
    </w:p>
    <w:p>
      <w:pPr>
        <w:numPr>
          <w:ilvl w:val="0"/>
          <w:numId w:val="1040"/>
        </w:numPr>
        <w:pStyle w:val="Compact"/>
      </w:pPr>
      <w:r>
        <w:t xml:space="preserve">Diminution de la puissance de l’étude</w:t>
      </w:r>
    </w:p>
    <w:p>
      <w:pPr>
        <w:numPr>
          <w:ilvl w:val="0"/>
          <w:numId w:val="1040"/>
        </w:numPr>
        <w:pStyle w:val="Compact"/>
      </w:pPr>
      <w:r>
        <w:t xml:space="preserve">Sous-estimation ou surestimation d’une association</w:t>
      </w:r>
    </w:p>
    <w:p>
      <w:pPr>
        <w:pStyle w:val="FirstParagraph"/>
      </w:pPr>
      <w:r>
        <w:t xml:space="preserve">Il existe trois grandes catégories de biais :</w:t>
      </w:r>
    </w:p>
    <w:p>
      <w:pPr>
        <w:numPr>
          <w:ilvl w:val="0"/>
          <w:numId w:val="1041"/>
        </w:numPr>
        <w:pStyle w:val="Compact"/>
      </w:pPr>
      <w:r>
        <w:t xml:space="preserve">Biais de</w:t>
      </w:r>
      <w:r>
        <w:t xml:space="preserve"> </w:t>
      </w:r>
      <w:r>
        <w:t xml:space="preserve">sélection</w:t>
      </w:r>
    </w:p>
    <w:p>
      <w:pPr>
        <w:numPr>
          <w:ilvl w:val="0"/>
          <w:numId w:val="1041"/>
        </w:numPr>
        <w:pStyle w:val="Compact"/>
      </w:pPr>
      <w:r>
        <w:t xml:space="preserve">Biais de</w:t>
      </w:r>
      <w:r>
        <w:t xml:space="preserve"> </w:t>
      </w:r>
      <w:r>
        <w:t xml:space="preserve">classement</w:t>
      </w:r>
    </w:p>
    <w:p>
      <w:pPr>
        <w:numPr>
          <w:ilvl w:val="0"/>
          <w:numId w:val="1041"/>
        </w:numPr>
        <w:pStyle w:val="Compact"/>
      </w:pPr>
      <w:r>
        <w:t xml:space="preserve">Biais de</w:t>
      </w:r>
      <w:r>
        <w:t xml:space="preserve"> </w:t>
      </w:r>
      <w:r>
        <w:t xml:space="preserve">confusion</w:t>
      </w:r>
    </w:p>
    <w:bookmarkStart w:id="81" w:name="sec-biais-sel"/>
    <w:p>
      <w:pPr>
        <w:pStyle w:val="Heading2"/>
      </w:pPr>
      <w:r>
        <w:t xml:space="preserve">9.1 Biais de sélection</w:t>
      </w:r>
    </w:p>
    <w:p>
      <w:pPr>
        <w:pStyle w:val="FirstParagraph"/>
      </w:pPr>
      <w:r>
        <w:t xml:space="preserve">Biais intervenant lors de la constitution de l’échantillon ou du suivi des sujets conduisant à ce que l’échantillon ne soit pas représentatif de la population cible</w:t>
      </w:r>
    </w:p>
    <w:p>
      <w:pPr>
        <w:pStyle w:val="BodyText"/>
      </w:pPr>
      <w:r>
        <w:t xml:space="preserve">Retrouvé lors de la constitution :</w:t>
      </w:r>
    </w:p>
    <w:p>
      <w:pPr>
        <w:numPr>
          <w:ilvl w:val="0"/>
          <w:numId w:val="1042"/>
        </w:numPr>
        <w:pStyle w:val="Compact"/>
      </w:pPr>
      <w:r>
        <w:t xml:space="preserve">De la population source</w:t>
      </w:r>
    </w:p>
    <w:p>
      <w:pPr>
        <w:numPr>
          <w:ilvl w:val="0"/>
          <w:numId w:val="1042"/>
        </w:numPr>
        <w:pStyle w:val="Compact"/>
      </w:pPr>
      <w:r>
        <w:t xml:space="preserve">De l’échantillon (nécessité de l’accord de participation)</w:t>
      </w:r>
    </w:p>
    <w:p>
      <w:pPr>
        <w:numPr>
          <w:ilvl w:val="1"/>
          <w:numId w:val="1043"/>
        </w:numPr>
        <w:pStyle w:val="Compact"/>
      </w:pPr>
      <w:r>
        <w:t xml:space="preserve">A l’entrée dans l’étude (non répondant, refus)</w:t>
      </w:r>
    </w:p>
    <w:p>
      <w:pPr>
        <w:numPr>
          <w:ilvl w:val="2"/>
          <w:numId w:val="1044"/>
        </w:numPr>
        <w:pStyle w:val="Compact"/>
      </w:pPr>
      <w:r>
        <w:t xml:space="preserve">Taux de participation</w:t>
      </w:r>
    </w:p>
    <w:p>
      <w:pPr>
        <w:numPr>
          <w:ilvl w:val="2"/>
          <w:numId w:val="1044"/>
        </w:numPr>
        <w:pStyle w:val="Compact"/>
      </w:pPr>
      <w:r>
        <w:t xml:space="preserve">= Comparaison, des sujets répondants vs non répondants</w:t>
      </w:r>
    </w:p>
    <w:p>
      <w:pPr>
        <w:numPr>
          <w:ilvl w:val="1"/>
          <w:numId w:val="1043"/>
        </w:numPr>
        <w:pStyle w:val="Compact"/>
      </w:pPr>
      <w:r>
        <w:t xml:space="preserve">Lors du suivi (cas d’une cohorte)</w:t>
      </w:r>
    </w:p>
    <w:p>
      <w:pPr>
        <w:numPr>
          <w:ilvl w:val="2"/>
          <w:numId w:val="1045"/>
        </w:numPr>
        <w:pStyle w:val="Compact"/>
      </w:pPr>
      <w:r>
        <w:t xml:space="preserve">Taux d’attrition (perdus de vue)</w:t>
      </w:r>
    </w:p>
    <w:p>
      <w:pPr>
        <w:numPr>
          <w:ilvl w:val="2"/>
          <w:numId w:val="1045"/>
        </w:numPr>
        <w:pStyle w:val="Compact"/>
      </w:pPr>
      <w:r>
        <w:t xml:space="preserve">= Comparaison des caractéristiques PDV vs sujets suivis</w:t>
      </w:r>
    </w:p>
    <w:p>
      <w:pPr>
        <w:pStyle w:val="FirstParagraph"/>
      </w:pPr>
      <w:r>
        <w:rPr>
          <w:bCs/>
          <w:b/>
        </w:rPr>
        <w:t xml:space="preserve">La sélection n’engendre pas systématiquement un biais</w:t>
      </w:r>
    </w:p>
    <w:bookmarkEnd w:id="81"/>
    <w:bookmarkStart w:id="82" w:name="biais-de-classement"/>
    <w:p>
      <w:pPr>
        <w:pStyle w:val="Heading2"/>
      </w:pPr>
      <w:r>
        <w:t xml:space="preserve">9.2 Biais de classement</w:t>
      </w:r>
    </w:p>
    <w:p>
      <w:pPr>
        <w:pStyle w:val="FirstParagraph"/>
      </w:pPr>
      <w:r>
        <w:t xml:space="preserve">Erreur systématique dans la mesure de la maladie ou de l’exposition conduisant à mal classer les sujets en malades/non malades ou en exposés/non exposés intervenant au moment du recueil de données</w:t>
      </w:r>
    </w:p>
    <w:p>
      <w:pPr>
        <w:pStyle w:val="BodyText"/>
      </w:pPr>
      <w:r>
        <w:t xml:space="preserve">Mesure précise de la maladie (ou exposition) étudiée :</w:t>
      </w:r>
    </w:p>
    <w:p>
      <w:pPr>
        <w:numPr>
          <w:ilvl w:val="0"/>
          <w:numId w:val="1046"/>
        </w:numPr>
        <w:pStyle w:val="Compact"/>
      </w:pPr>
      <w:r>
        <w:t xml:space="preserve">Reposant, si possible, sur des méthodes objectives</w:t>
      </w:r>
    </w:p>
    <w:p>
      <w:pPr>
        <w:numPr>
          <w:ilvl w:val="0"/>
          <w:numId w:val="1046"/>
        </w:numPr>
        <w:pStyle w:val="Compact"/>
      </w:pPr>
      <w:r>
        <w:t xml:space="preserve">Examens objectifs</w:t>
      </w:r>
    </w:p>
    <w:p>
      <w:pPr>
        <w:numPr>
          <w:ilvl w:val="0"/>
          <w:numId w:val="1046"/>
        </w:numPr>
        <w:pStyle w:val="Compact"/>
      </w:pPr>
      <w:r>
        <w:t xml:space="preserve">Questionnaires standardisés et validés</w:t>
      </w:r>
    </w:p>
    <w:p>
      <w:pPr>
        <w:numPr>
          <w:ilvl w:val="0"/>
          <w:numId w:val="1046"/>
        </w:numPr>
        <w:pStyle w:val="Compact"/>
      </w:pPr>
      <w:r>
        <w:t xml:space="preserve">Procédures reproductibles</w:t>
      </w:r>
    </w:p>
    <w:bookmarkEnd w:id="82"/>
    <w:bookmarkStart w:id="83" w:name="biais-de-confusion"/>
    <w:p>
      <w:pPr>
        <w:pStyle w:val="Heading2"/>
      </w:pPr>
      <w:r>
        <w:t xml:space="preserve">9.3 Biais de confusion</w:t>
      </w:r>
    </w:p>
    <w:p>
      <w:pPr>
        <w:numPr>
          <w:ilvl w:val="0"/>
          <w:numId w:val="1047"/>
        </w:numPr>
        <w:pStyle w:val="Compact"/>
      </w:pPr>
      <w:r>
        <w:t xml:space="preserve">Ces biais vont être liés à l’intervention d’un ou de plusieurs tiers facteurs</w:t>
      </w:r>
    </w:p>
    <w:p>
      <w:pPr>
        <w:numPr>
          <w:ilvl w:val="0"/>
          <w:numId w:val="1047"/>
        </w:numPr>
        <w:pStyle w:val="Compact"/>
      </w:pPr>
      <w:r>
        <w:t xml:space="preserve">Ils sont particulièrement redoutés en épidémiologie analytique</w:t>
      </w:r>
    </w:p>
    <w:p>
      <w:pPr>
        <w:numPr>
          <w:ilvl w:val="0"/>
          <w:numId w:val="1047"/>
        </w:numPr>
        <w:pStyle w:val="Compact"/>
      </w:pPr>
      <w:r>
        <w:t xml:space="preserve">En épidémiologie descriptive, peuvent intervenir lorsque l’on compare les taux provenant de plusieurs populations différentes</w:t>
      </w:r>
    </w:p>
    <w:p>
      <w:pPr>
        <w:pStyle w:val="BlockText"/>
      </w:pPr>
      <w:r>
        <w:rPr>
          <w:iCs/>
          <w:i/>
        </w:rPr>
        <w:t xml:space="preserve">Ex : comparer les taux de mortalité de la région Nord Pas de Calais (région jeune) à ceux de la région Limousin (région âgée)</w:t>
      </w:r>
    </w:p>
    <w:bookmarkEnd w:id="83"/>
    <w:bookmarkStart w:id="86" w:name="en-bref-4"/>
    <w:p>
      <w:pPr>
        <w:pStyle w:val="Heading2"/>
      </w:pPr>
      <w:r>
        <w:t xml:space="preserve">9.4 En bref</w:t>
      </w:r>
    </w:p>
    <w:p>
      <w:pPr>
        <w:numPr>
          <w:ilvl w:val="0"/>
          <w:numId w:val="1048"/>
        </w:numPr>
        <w:pStyle w:val="Compact"/>
      </w:pPr>
      <w:r>
        <w:t xml:space="preserve">Erreurs systématiques (sous ou sur estimation)</w:t>
      </w:r>
    </w:p>
    <w:p>
      <w:pPr>
        <w:numPr>
          <w:ilvl w:val="0"/>
          <w:numId w:val="1048"/>
        </w:numPr>
        <w:pStyle w:val="Compact"/>
      </w:pPr>
      <w:r>
        <w:t xml:space="preserve">Ne sont pas modifiés par la taille de l’échantillon</w:t>
      </w:r>
    </w:p>
    <w:p>
      <w:pPr>
        <w:numPr>
          <w:ilvl w:val="0"/>
          <w:numId w:val="1048"/>
        </w:numPr>
        <w:pStyle w:val="Compact"/>
      </w:pPr>
      <w:r>
        <w:t xml:space="preserve">Ils peuvent être évités ou réduits et nécessitent donc une réflexion préalable</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84" name="Picture"/>
                  <a:graphic>
                    <a:graphicData uri="http://schemas.openxmlformats.org/drawingml/2006/picture">
                      <pic:pic>
                        <pic:nvPicPr>
                          <pic:cNvPr descr="/opt/quarto/share/formats/docx/note.png" id="8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Cs/>
                <w:b/>
              </w:rPr>
              <w:t xml:space="preserve">Question</w:t>
            </w:r>
          </w:p>
        </w:tc>
      </w:tr>
    </w:tbl>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Épidémiologie descriptive</dc:title>
  <dc:creator/>
  <dc:language>fr</dc:language>
  <cp:keywords/>
  <dcterms:created xsi:type="dcterms:W3CDTF">2024-02-23T04:28:32Z</dcterms:created>
  <dcterms:modified xsi:type="dcterms:W3CDTF">2024-02-23T04:28:32Z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date">
    <vt:lpwstr>2024-02-23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emplate-partials">
    <vt:lpwstr/>
  </property>
  <property fmtid="{D5CDD505-2E9C-101B-9397-08002B2CF9AE}" pid="12" name="toc-title">
    <vt:lpwstr>Table des matières</vt:lpwstr>
  </property>
</Properties>
</file>