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rFonts w:cs="Times New Roman"/>
          <w:b/>
          <w:bCs/>
          <w:color w:val="323E4F"/>
          <w:szCs w:val="24"/>
        </w:rPr>
        <w:t>A</w:t>
      </w:r>
      <w:r>
        <w:rPr>
          <w:rFonts w:cs="Times New Roman"/>
          <w:b/>
          <w:bCs/>
          <w:color w:val="323E4F"/>
          <w:szCs w:val="24"/>
        </w:rPr>
        <w:t xml:space="preserve">lgunas cifras que sería útil destacar en el boletín.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323E4F"/>
          <w:szCs w:val="24"/>
        </w:rPr>
        <w:t>D</w:t>
      </w:r>
      <w:r>
        <w:rPr>
          <w:rFonts w:cs="Times New Roman"/>
          <w:b w:val="false"/>
          <w:bCs w:val="false"/>
          <w:color w:val="323E4F"/>
          <w:szCs w:val="24"/>
        </w:rPr>
        <w:t>el total de hogares de Ñuble, un 37.3 % están liderados por mujeres, lo que contrasta con el 39.5% a nivel nacional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323E4F"/>
          <w:szCs w:val="24"/>
        </w:rPr>
        <w:t>I</w:t>
      </w:r>
      <w:r>
        <w:rPr>
          <w:rFonts w:cs="Times New Roman"/>
          <w:b w:val="false"/>
          <w:bCs w:val="false"/>
          <w:color w:val="323E4F"/>
          <w:szCs w:val="24"/>
        </w:rPr>
        <w:t>ngreso autónomo per capita del hogar es de $ 217.088 para lo hogares liderados por un varón, mientras que de $ 176.713 en los que el rol de jefatura del hogar es asumido por una mujer.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323E4F"/>
          <w:szCs w:val="24"/>
        </w:rPr>
        <w:t>U</w:t>
      </w:r>
      <w:r>
        <w:rPr>
          <w:rFonts w:cs="Times New Roman"/>
          <w:b w:val="false"/>
          <w:bCs w:val="false"/>
          <w:color w:val="323E4F"/>
          <w:szCs w:val="24"/>
        </w:rPr>
        <w:t>n 20.35 % de los hogares liderados por mujeres se encuentra en situación de pobreza</w:t>
      </w:r>
      <w:r>
        <w:rPr>
          <w:rFonts w:cs="Times New Roman"/>
          <w:b w:val="false"/>
          <w:bCs w:val="false"/>
          <w:color w:val="323E4F"/>
          <w:szCs w:val="24"/>
        </w:rPr>
        <w:t xml:space="preserve"> por ingresos</w:t>
      </w:r>
      <w:r>
        <w:rPr>
          <w:rFonts w:cs="Times New Roman"/>
          <w:b w:val="false"/>
          <w:bCs w:val="false"/>
          <w:color w:val="323E4F"/>
          <w:szCs w:val="24"/>
        </w:rPr>
        <w:t>,  mientras que un 18.62 % en el caso de los varones. Situación que contrasta con lo que ocurre a nivel nacional donde estas cifras corresponden a 12.9% y 8.7%, respectivamente.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both"/>
        <w:rPr>
          <w:rFonts w:cs="Times New Roman"/>
          <w:color w:val="323E4F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rPr>
          <w:rFonts w:cs="Times New Roman"/>
          <w:b/>
          <w:b/>
          <w:bCs/>
          <w:color w:val="323E4F"/>
          <w:szCs w:val="24"/>
        </w:rPr>
      </w:pPr>
      <w:r>
        <w:rPr/>
      </w:r>
    </w:p>
    <w:p>
      <w:pPr>
        <w:pStyle w:val="Normal"/>
        <w:widowControl w:val="false"/>
        <w:rPr>
          <w:rFonts w:cs="Times New Roman"/>
          <w:b/>
          <w:b/>
          <w:bCs/>
          <w:color w:val="323E4F"/>
          <w:szCs w:val="24"/>
        </w:rPr>
      </w:pPr>
      <w:r>
        <w:rPr>
          <w:rFonts w:cs="Times New Roman"/>
          <w:b/>
          <w:bCs/>
          <w:color w:val="323E4F"/>
          <w:szCs w:val="24"/>
        </w:rPr>
        <w:t>Cuadro x: Distribución de ocupados según categoría ocupacional de Ñuble y Nacional, 2016.</w:t>
      </w:r>
    </w:p>
    <w:tbl>
      <w:tblPr>
        <w:tblW w:w="5000" w:type="pct"/>
        <w:jc w:val="left"/>
        <w:tblInd w:w="0" w:type="dxa"/>
        <w:tblBorders>
          <w:top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3317"/>
        <w:gridCol w:w="1295"/>
        <w:gridCol w:w="1298"/>
        <w:gridCol w:w="1"/>
        <w:gridCol w:w="1294"/>
        <w:gridCol w:w="1299"/>
      </w:tblGrid>
      <w:tr>
        <w:trPr>
          <w:trHeight w:val="300" w:hRule="atLeast"/>
        </w:trPr>
        <w:tc>
          <w:tcPr>
            <w:tcW w:w="3317" w:type="dxa"/>
            <w:vMerge w:val="restart"/>
            <w:tcBorders>
              <w:top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Categoría Ocupacional</w:t>
            </w:r>
          </w:p>
        </w:tc>
        <w:tc>
          <w:tcPr>
            <w:tcW w:w="2594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Ñuble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Nacional</w:t>
            </w:r>
          </w:p>
        </w:tc>
      </w:tr>
      <w:tr>
        <w:trPr>
          <w:trHeight w:val="300" w:hRule="atLeast"/>
        </w:trPr>
        <w:tc>
          <w:tcPr>
            <w:tcW w:w="3317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</w:r>
          </w:p>
        </w:tc>
        <w:tc>
          <w:tcPr>
            <w:tcW w:w="129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Hombre (%)</w:t>
            </w:r>
          </w:p>
        </w:tc>
        <w:tc>
          <w:tcPr>
            <w:tcW w:w="12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Mujer (%)</w:t>
            </w:r>
          </w:p>
        </w:tc>
        <w:tc>
          <w:tcPr>
            <w:tcW w:w="1295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Hombre (%)</w:t>
            </w:r>
          </w:p>
        </w:tc>
        <w:tc>
          <w:tcPr>
            <w:tcW w:w="129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Mujer (%)</w:t>
            </w:r>
          </w:p>
        </w:tc>
      </w:tr>
      <w:tr>
        <w:trPr>
          <w:trHeight w:val="345" w:hRule="atLeast"/>
        </w:trPr>
        <w:tc>
          <w:tcPr>
            <w:tcW w:w="3317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Empleador</w:t>
            </w:r>
          </w:p>
        </w:tc>
        <w:tc>
          <w:tcPr>
            <w:tcW w:w="1295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5,3</w:t>
            </w:r>
          </w:p>
        </w:tc>
        <w:tc>
          <w:tcPr>
            <w:tcW w:w="1298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3,5</w:t>
            </w:r>
          </w:p>
        </w:tc>
        <w:tc>
          <w:tcPr>
            <w:tcW w:w="1295" w:type="dxa"/>
            <w:gridSpan w:val="2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5,3</w:t>
            </w:r>
          </w:p>
        </w:tc>
        <w:tc>
          <w:tcPr>
            <w:tcW w:w="1299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2,3</w:t>
            </w:r>
          </w:p>
        </w:tc>
      </w:tr>
      <w:tr>
        <w:trPr>
          <w:trHeight w:val="345" w:hRule="atLeast"/>
        </w:trPr>
        <w:tc>
          <w:tcPr>
            <w:tcW w:w="3317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Cuenta propia</w:t>
            </w:r>
          </w:p>
        </w:tc>
        <w:tc>
          <w:tcPr>
            <w:tcW w:w="1295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22,2</w:t>
            </w:r>
          </w:p>
        </w:tc>
        <w:tc>
          <w:tcPr>
            <w:tcW w:w="1298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17,5</w:t>
            </w:r>
          </w:p>
        </w:tc>
        <w:tc>
          <w:tcPr>
            <w:tcW w:w="1295" w:type="dxa"/>
            <w:gridSpan w:val="2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20,8</w:t>
            </w:r>
          </w:p>
        </w:tc>
        <w:tc>
          <w:tcPr>
            <w:tcW w:w="1299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21,7</w:t>
            </w:r>
          </w:p>
        </w:tc>
      </w:tr>
      <w:tr>
        <w:trPr>
          <w:trHeight w:val="345" w:hRule="atLeast"/>
        </w:trPr>
        <w:tc>
          <w:tcPr>
            <w:tcW w:w="3317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Asalariado sin contrato</w:t>
            </w:r>
          </w:p>
        </w:tc>
        <w:tc>
          <w:tcPr>
            <w:tcW w:w="1295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14,7</w:t>
            </w:r>
          </w:p>
        </w:tc>
        <w:tc>
          <w:tcPr>
            <w:tcW w:w="1298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18,2</w:t>
            </w:r>
          </w:p>
        </w:tc>
        <w:tc>
          <w:tcPr>
            <w:tcW w:w="1295" w:type="dxa"/>
            <w:gridSpan w:val="2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10,4</w:t>
            </w:r>
          </w:p>
        </w:tc>
        <w:tc>
          <w:tcPr>
            <w:tcW w:w="1299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11,9</w:t>
            </w:r>
          </w:p>
        </w:tc>
      </w:tr>
      <w:tr>
        <w:trPr>
          <w:trHeight w:val="345" w:hRule="atLeast"/>
        </w:trPr>
        <w:tc>
          <w:tcPr>
            <w:tcW w:w="3317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Asalariado contrato definido</w:t>
            </w:r>
          </w:p>
        </w:tc>
        <w:tc>
          <w:tcPr>
            <w:tcW w:w="1295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17,1</w:t>
            </w:r>
          </w:p>
        </w:tc>
        <w:tc>
          <w:tcPr>
            <w:tcW w:w="1298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19,9</w:t>
            </w:r>
          </w:p>
        </w:tc>
        <w:tc>
          <w:tcPr>
            <w:tcW w:w="1295" w:type="dxa"/>
            <w:gridSpan w:val="2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15,8</w:t>
            </w:r>
          </w:p>
        </w:tc>
        <w:tc>
          <w:tcPr>
            <w:tcW w:w="1299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15,0</w:t>
            </w:r>
          </w:p>
        </w:tc>
      </w:tr>
      <w:tr>
        <w:trPr>
          <w:trHeight w:val="345" w:hRule="atLeast"/>
        </w:trPr>
        <w:tc>
          <w:tcPr>
            <w:tcW w:w="3317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Asalariado contrato indefinido</w:t>
            </w:r>
          </w:p>
        </w:tc>
        <w:tc>
          <w:tcPr>
            <w:tcW w:w="1295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39,8</w:t>
            </w:r>
          </w:p>
        </w:tc>
        <w:tc>
          <w:tcPr>
            <w:tcW w:w="1298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39,1</w:t>
            </w:r>
          </w:p>
        </w:tc>
        <w:tc>
          <w:tcPr>
            <w:tcW w:w="1295" w:type="dxa"/>
            <w:gridSpan w:val="2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47,0</w:t>
            </w:r>
          </w:p>
        </w:tc>
        <w:tc>
          <w:tcPr>
            <w:tcW w:w="1299" w:type="dxa"/>
            <w:tcBorders/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47,1</w:t>
            </w:r>
          </w:p>
        </w:tc>
      </w:tr>
      <w:tr>
        <w:trPr>
          <w:trHeight w:val="345" w:hRule="atLeast"/>
        </w:trPr>
        <w:tc>
          <w:tcPr>
            <w:tcW w:w="3317" w:type="dxa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No remunerado</w:t>
            </w:r>
          </w:p>
        </w:tc>
        <w:tc>
          <w:tcPr>
            <w:tcW w:w="1295" w:type="dxa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0,9</w:t>
            </w:r>
          </w:p>
        </w:tc>
        <w:tc>
          <w:tcPr>
            <w:tcW w:w="1298" w:type="dxa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1,8</w:t>
            </w:r>
          </w:p>
        </w:tc>
        <w:tc>
          <w:tcPr>
            <w:tcW w:w="129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0,7</w:t>
            </w:r>
          </w:p>
        </w:tc>
        <w:tc>
          <w:tcPr>
            <w:tcW w:w="1299" w:type="dxa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1,9</w:t>
            </w:r>
          </w:p>
        </w:tc>
      </w:tr>
      <w:tr>
        <w:trPr>
          <w:trHeight w:val="315" w:hRule="atLeast"/>
        </w:trPr>
        <w:tc>
          <w:tcPr>
            <w:tcW w:w="3317" w:type="dxa"/>
            <w:tcBorders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eastAsia="Times New Roman" w:cs="Times New Roman"/>
                <w:color w:val="000000"/>
                <w:sz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Total</w:t>
            </w:r>
          </w:p>
        </w:tc>
        <w:tc>
          <w:tcPr>
            <w:tcW w:w="1295" w:type="dxa"/>
            <w:tcBorders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  <w:tc>
          <w:tcPr>
            <w:tcW w:w="1298" w:type="dxa"/>
            <w:tcBorders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  <w:tc>
          <w:tcPr>
            <w:tcW w:w="1295" w:type="dxa"/>
            <w:gridSpan w:val="2"/>
            <w:tcBorders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  <w:tc>
          <w:tcPr>
            <w:tcW w:w="1299" w:type="dxa"/>
            <w:tcBorders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</w:tr>
    </w:tbl>
    <w:p>
      <w:pPr>
        <w:pStyle w:val="Normal"/>
        <w:widowControl w:val="false"/>
        <w:tabs>
          <w:tab w:val="left" w:pos="5025" w:leader="none"/>
        </w:tabs>
        <w:rPr/>
      </w:pPr>
      <w:r>
        <w:rPr>
          <w:color w:val="17365D" w:themeColor="text2" w:themeShade="bf"/>
          <w:sz w:val="20"/>
        </w:rPr>
        <w:t>Fuente: Elaboración propia conforme a ENE 2016.</w:t>
      </w:r>
    </w:p>
    <w:p>
      <w:pPr>
        <w:pStyle w:val="Normal"/>
        <w:widowControl w:val="false"/>
        <w:tabs>
          <w:tab w:val="left" w:pos="5025" w:leader="none"/>
        </w:tabs>
        <w:rPr>
          <w:color w:val="17365D" w:themeColor="text2" w:themeShade="bf"/>
          <w:sz w:val="20"/>
        </w:rPr>
      </w:pPr>
      <w:r>
        <w:rPr/>
      </w:r>
    </w:p>
    <w:p>
      <w:pPr>
        <w:pStyle w:val="Estilotablas"/>
        <w:widowControl w:val="false"/>
        <w:rPr/>
      </w:pPr>
      <w:r>
        <w:rPr>
          <w:rFonts w:eastAsia="Calibri"/>
          <w:bCs w:val="false"/>
          <w:color w:val="323E4F"/>
          <w:szCs w:val="22"/>
          <w:lang w:val="es-CL" w:eastAsia="en-US" w:bidi="ar-SA"/>
        </w:rPr>
        <w:t xml:space="preserve">Cuadro </w:t>
      </w:r>
      <w:r>
        <w:rPr>
          <w:rFonts w:eastAsia="Calibri"/>
          <w:bCs w:val="false"/>
          <w:color w:val="323E4F"/>
          <w:szCs w:val="22"/>
          <w:lang w:val="es-CL" w:eastAsia="en-US" w:bidi="ar-SA"/>
        </w:rPr>
        <w:t>xx</w:t>
      </w:r>
      <w:r>
        <w:rPr>
          <w:rFonts w:eastAsia="Calibri"/>
          <w:bCs w:val="false"/>
          <w:color w:val="323E4F"/>
          <w:szCs w:val="22"/>
          <w:lang w:val="es-CL" w:eastAsia="en-US" w:bidi="ar-SA"/>
        </w:rPr>
        <w:t xml:space="preserve">. Brecha de género en ingresos para trabajadores dependientes, ingresos de los dependientes según sexo y nivel educacional de Ñuble, 2016. </w:t>
      </w:r>
    </w:p>
    <w:tbl>
      <w:tblPr>
        <w:tblW w:w="5000" w:type="pct"/>
        <w:jc w:val="left"/>
        <w:tblInd w:w="0" w:type="dxa"/>
        <w:tblBorders>
          <w:top w:val="single" w:sz="8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039"/>
        <w:gridCol w:w="1244"/>
        <w:gridCol w:w="1498"/>
        <w:gridCol w:w="1230"/>
        <w:gridCol w:w="1390"/>
        <w:gridCol w:w="1102"/>
      </w:tblGrid>
      <w:tr>
        <w:trPr>
          <w:trHeight w:val="69" w:hRule="atLeast"/>
        </w:trPr>
        <w:tc>
          <w:tcPr>
            <w:tcW w:w="2039" w:type="dxa"/>
            <w:vMerge w:val="restart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Nivel educacional</w:t>
            </w:r>
          </w:p>
        </w:tc>
        <w:tc>
          <w:tcPr>
            <w:tcW w:w="2742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Hombres</w:t>
            </w:r>
          </w:p>
        </w:tc>
        <w:tc>
          <w:tcPr>
            <w:tcW w:w="262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Mujeres</w:t>
            </w:r>
          </w:p>
        </w:tc>
        <w:tc>
          <w:tcPr>
            <w:tcW w:w="1102" w:type="dxa"/>
            <w:vMerge w:val="restart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Brecha de género</w:t>
            </w:r>
          </w:p>
        </w:tc>
      </w:tr>
      <w:tr>
        <w:trPr>
          <w:trHeight w:val="802" w:hRule="atLeast"/>
        </w:trPr>
        <w:tc>
          <w:tcPr>
            <w:tcW w:w="2039" w:type="dxa"/>
            <w:vMerge w:val="continue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Nº de Ocupados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Ingreso      por hora promedio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($)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Nº de Ocupados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Ingreso por hora promedio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($)</w:t>
            </w:r>
          </w:p>
        </w:tc>
        <w:tc>
          <w:tcPr>
            <w:tcW w:w="1102" w:type="dxa"/>
            <w:vMerge w:val="continue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Básica incompleta o sin estudios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20.813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1.284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  <w:highlight w:val="yellow"/>
              </w:rPr>
              <w:t>9.416ª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1.460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13,7%</w:t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Básica completa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32.766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1.473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15.807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1.477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0,3%</w:t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Media completa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43.281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2.156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30.781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1.673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-22,4%*</w:t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Técnico nivel superior completo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  <w:highlight w:val="yellow"/>
              </w:rPr>
              <w:t>6.327ª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2.955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10.372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2.412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-18,4%*</w:t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lang w:val="es-ES" w:eastAsia="es-ES"/>
              </w:rPr>
              <w:t>Profesional o más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16.828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6.784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17.819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4.254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-37,3%*</w:t>
            </w:r>
          </w:p>
        </w:tc>
      </w:tr>
      <w:tr>
        <w:trPr>
          <w:trHeight w:val="297" w:hRule="atLeast"/>
        </w:trPr>
        <w:tc>
          <w:tcPr>
            <w:tcW w:w="20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/>
                <w:color w:val="000000"/>
                <w:sz w:val="22"/>
                <w:lang w:eastAsia="es-ES"/>
              </w:rPr>
              <w:t>Total Ñuble</w:t>
            </w:r>
          </w:p>
        </w:tc>
        <w:tc>
          <w:tcPr>
            <w:tcW w:w="124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120.015</w:t>
            </w:r>
          </w:p>
        </w:tc>
        <w:tc>
          <w:tcPr>
            <w:tcW w:w="149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2.417</w:t>
            </w:r>
          </w:p>
        </w:tc>
        <w:tc>
          <w:tcPr>
            <w:tcW w:w="12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 w:val="22"/>
              </w:rPr>
              <w:t>84.196</w:t>
            </w:r>
          </w:p>
        </w:tc>
        <w:tc>
          <w:tcPr>
            <w:tcW w:w="13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2.191</w:t>
            </w:r>
          </w:p>
        </w:tc>
        <w:tc>
          <w:tcPr>
            <w:tcW w:w="110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sz w:val="22"/>
                <w:lang w:val="es-ES" w:eastAsia="es-ES"/>
              </w:rPr>
              <w:t>-9,4%*</w:t>
            </w:r>
          </w:p>
        </w:tc>
      </w:tr>
    </w:tbl>
    <w:p>
      <w:pPr>
        <w:pStyle w:val="Normal"/>
        <w:widowControl w:val="false"/>
        <w:rPr/>
      </w:pPr>
      <w:r>
        <w:rPr>
          <w:color w:val="323E4F"/>
          <w:sz w:val="20"/>
        </w:rPr>
        <w:t>Fuente: Elaboración propia conforme a ENE 2016 y CASEN 2015.</w:t>
      </w:r>
    </w:p>
    <w:p>
      <w:pPr>
        <w:pStyle w:val="Normal"/>
        <w:widowControl w:val="false"/>
        <w:rPr/>
      </w:pPr>
      <w:r>
        <w:rPr>
          <w:color w:val="323E4F"/>
          <w:sz w:val="20"/>
        </w:rPr>
        <w:t>Nota 1: Los ocupados de la región se calculan considerando el efecto de la conmutación.</w:t>
      </w:r>
    </w:p>
    <w:p>
      <w:pPr>
        <w:pStyle w:val="Normal"/>
        <w:widowControl w:val="false"/>
        <w:rPr/>
      </w:pPr>
      <w:r>
        <w:rPr>
          <w:color w:val="323E4F"/>
          <w:sz w:val="20"/>
        </w:rPr>
        <w:t>Nota 2: Se considera el último nivel educacional aprobado.</w:t>
      </w:r>
    </w:p>
    <w:p>
      <w:pPr>
        <w:pStyle w:val="Normal"/>
        <w:widowControl w:val="false"/>
        <w:rPr/>
      </w:pPr>
      <w:r>
        <w:rPr>
          <w:color w:val="323E4F"/>
          <w:sz w:val="20"/>
        </w:rPr>
        <w:t>Nota 3: El ingreso por hora promedio se calcula como: suma de los ingresos del total de la población en cada nivel educacional/cantidad de horas de trabajo del total de la población en cada nivel educacional.</w:t>
      </w:r>
    </w:p>
    <w:p>
      <w:pPr>
        <w:pStyle w:val="Normal"/>
        <w:widowControl w:val="false"/>
        <w:rPr/>
      </w:pPr>
      <w:r>
        <w:rPr>
          <w:color w:val="323E4F"/>
          <w:sz w:val="20"/>
        </w:rPr>
        <w:t xml:space="preserve">Nota 4: La brecha de género se calcula como: (ingreso por hora mujer / ingreso por hora hombre - 1) *100. </w:t>
      </w:r>
    </w:p>
    <w:p>
      <w:pPr>
        <w:pStyle w:val="Normal"/>
        <w:widowControl w:val="false"/>
        <w:rPr/>
      </w:pPr>
      <w:r>
        <w:rPr>
          <w:color w:val="323E4F"/>
          <w:sz w:val="20"/>
        </w:rPr>
        <w:t>Nota 5: Los valores con * son estadísticamente significativos al 5%</w:t>
      </w:r>
    </w:p>
    <w:p>
      <w:pPr>
        <w:pStyle w:val="Normal"/>
        <w:widowControl w:val="false"/>
        <w:rPr/>
      </w:pPr>
      <w:r>
        <w:rPr>
          <w:color w:val="323E4F" w:themeColor="text2" w:themeShade="bf"/>
          <w:sz w:val="20"/>
        </w:rPr>
        <w:t>Nota 6: Los estadísticos asociados con ᵃ no son confiables ya sea por tamaño muestral y/o baja precisión.</w:t>
      </w:r>
    </w:p>
    <w:p>
      <w:pPr>
        <w:pStyle w:val="Normal"/>
        <w:widowControl w:val="false"/>
        <w:tabs>
          <w:tab w:val="left" w:pos="5025" w:leader="none"/>
        </w:tabs>
        <w:rPr>
          <w:color w:val="17365D" w:themeColor="text2" w:themeShade="bf"/>
          <w:sz w:val="20"/>
        </w:rPr>
      </w:pPr>
      <w:r>
        <w:rPr>
          <w:szCs w:val="24"/>
        </w:rPr>
      </w:r>
    </w:p>
    <w:p>
      <w:pPr>
        <w:pStyle w:val="Normal"/>
        <w:widowControl w:val="false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7b27"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rFonts w:eastAsia="ＭＳ 明朝" w:eastAsiaTheme="minorEastAsia"/>
      <w:b/>
      <w:iCs/>
      <w:color w:val="323E4F" w:themeColor="text2" w:themeShade="bf"/>
      <w:szCs w:val="18"/>
      <w:lang w:val="en-US" w:eastAsia="es-ES"/>
    </w:rPr>
  </w:style>
  <w:style w:type="paragraph" w:styleId="Estilotablas">
    <w:name w:val="Estilo tablas"/>
    <w:basedOn w:val="Caption"/>
    <w:qFormat/>
    <w:pPr>
      <w:keepNext/>
      <w:spacing w:before="0" w:after="0"/>
    </w:pPr>
    <w:rPr>
      <w:rFonts w:cs="Times New Roman"/>
      <w:bCs/>
      <w:iCs w:val="false"/>
      <w:color w:val="2E74B5" w:themeColor="accent1" w:themeShade="bf"/>
      <w:szCs w:val="24"/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2</Pages>
  <Words>407</Words>
  <Characters>2018</Characters>
  <CharactersWithSpaces>2327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2017-07-28T20:08:00Z</dcterms:created>
  <dc:creator>Miguelo</dc:creator>
  <dc:description/>
  <dc:language>es-CL</dc:language>
  <cp:lastModifiedBy>Héctor Garrido</cp:lastModifiedBy>
  <dcterms:modified xsi:type="dcterms:W3CDTF">2017-08-04T02:27:49Z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