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>{{</w:t>
      </w:r>
      <w:proofErr w:type="spellStart"/>
      <w:r w:rsidR="00F45CF2" w:rsidRPr="00B14C15">
        <w:rPr>
          <w:b/>
          <w:sz w:val="28"/>
          <w:highlight w:val="yellow"/>
        </w:rPr>
        <w:t>nomCt</w:t>
      </w:r>
      <w:proofErr w:type="spellEnd"/>
      <w:r w:rsidR="00F45CF2" w:rsidRPr="00B14C15">
        <w:rPr>
          <w:b/>
          <w:sz w:val="28"/>
          <w:highlight w:val="yellow"/>
        </w:rPr>
        <w:t>}}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>{{ano}}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>{{</w:t>
      </w:r>
      <w:proofErr w:type="spellStart"/>
      <w:r w:rsidRPr="005A5B3D">
        <w:rPr>
          <w:b/>
          <w:sz w:val="20"/>
          <w:highlight w:val="yellow"/>
        </w:rPr>
        <w:t>totRegCLP</w:t>
      </w:r>
      <w:proofErr w:type="spellEnd"/>
      <w:r w:rsidRPr="005A5B3D">
        <w:rPr>
          <w:b/>
          <w:sz w:val="20"/>
          <w:highlight w:val="yellow"/>
        </w:rPr>
        <w:t>}}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>{{</w:t>
      </w:r>
      <w:proofErr w:type="spellStart"/>
      <w:r w:rsidR="00F161DA" w:rsidRPr="00B14C15">
        <w:rPr>
          <w:b/>
          <w:sz w:val="20"/>
          <w:highlight w:val="yellow"/>
        </w:rPr>
        <w:t>nomCt</w:t>
      </w:r>
      <w:proofErr w:type="spellEnd"/>
      <w:r w:rsidR="00F161DA" w:rsidRPr="00B14C15">
        <w:rPr>
          <w:b/>
          <w:sz w:val="20"/>
          <w:highlight w:val="yellow"/>
        </w:rPr>
        <w:t>}}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>{{</w:t>
      </w:r>
      <w:proofErr w:type="spellStart"/>
      <w:r w:rsidRPr="005A5B3D">
        <w:rPr>
          <w:b/>
          <w:sz w:val="20"/>
          <w:highlight w:val="yellow"/>
        </w:rPr>
        <w:t>totRegOC</w:t>
      </w:r>
      <w:proofErr w:type="spellEnd"/>
      <w:r w:rsidRPr="005A5B3D">
        <w:rPr>
          <w:b/>
          <w:sz w:val="20"/>
          <w:highlight w:val="yellow"/>
        </w:rPr>
        <w:t>}}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>{{</w:t>
      </w:r>
      <w:proofErr w:type="spellStart"/>
      <w:r w:rsidR="007B3970" w:rsidRPr="00B14C15">
        <w:rPr>
          <w:sz w:val="20"/>
          <w:highlight w:val="yellow"/>
        </w:rPr>
        <w:t>fechaVisita</w:t>
      </w:r>
      <w:proofErr w:type="spellEnd"/>
      <w:r w:rsidR="0001323C" w:rsidRPr="00B14C15">
        <w:rPr>
          <w:sz w:val="20"/>
          <w:highlight w:val="yellow"/>
        </w:rPr>
        <w:t>}}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>{{</w:t>
      </w:r>
      <w:proofErr w:type="spellStart"/>
      <w:r w:rsidR="007B3970" w:rsidRPr="00B14C15">
        <w:rPr>
          <w:sz w:val="20"/>
          <w:highlight w:val="yellow"/>
        </w:rPr>
        <w:t>nom</w:t>
      </w:r>
      <w:proofErr w:type="spellEnd"/>
      <w:r w:rsidR="007B3970" w:rsidRPr="00B14C15">
        <w:rPr>
          <w:sz w:val="20"/>
          <w:highlight w:val="yellow"/>
        </w:rPr>
        <w:t>}}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>{{asistentes}}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>{{</w:t>
      </w:r>
      <w:proofErr w:type="spellStart"/>
      <w:r w:rsidRPr="00B14C15">
        <w:rPr>
          <w:b/>
          <w:sz w:val="20"/>
          <w:highlight w:val="yellow"/>
        </w:rPr>
        <w:t>totRegCLP</w:t>
      </w:r>
      <w:proofErr w:type="spellEnd"/>
      <w:r w:rsidRPr="00B14C15">
        <w:rPr>
          <w:b/>
          <w:sz w:val="20"/>
          <w:highlight w:val="yellow"/>
        </w:rPr>
        <w:t>}}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>{{ano}}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>{{</w:t>
      </w:r>
      <w:proofErr w:type="spellStart"/>
      <w:r w:rsidRPr="00B14C15">
        <w:rPr>
          <w:b/>
          <w:sz w:val="20"/>
          <w:highlight w:val="yellow"/>
        </w:rPr>
        <w:t>nom</w:t>
      </w:r>
      <w:proofErr w:type="spellEnd"/>
      <w:r w:rsidRPr="00B14C15">
        <w:rPr>
          <w:b/>
          <w:sz w:val="20"/>
          <w:highlight w:val="yellow"/>
        </w:rPr>
        <w:t>}}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>{{ano}}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>{{</w:t>
      </w:r>
      <w:proofErr w:type="spellStart"/>
      <w:r w:rsidR="00F27464" w:rsidRPr="00B14C15">
        <w:rPr>
          <w:sz w:val="20"/>
          <w:highlight w:val="yellow"/>
        </w:rPr>
        <w:t>totRegCLP</w:t>
      </w:r>
      <w:proofErr w:type="spellEnd"/>
      <w:r w:rsidR="00BA2142" w:rsidRPr="00B14C15">
        <w:rPr>
          <w:sz w:val="20"/>
          <w:highlight w:val="yellow"/>
        </w:rPr>
        <w:t>}}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>{{</w:t>
      </w:r>
      <w:proofErr w:type="spellStart"/>
      <w:r w:rsidR="005C2B5D" w:rsidRPr="00B14C15">
        <w:rPr>
          <w:sz w:val="20"/>
          <w:highlight w:val="yellow"/>
        </w:rPr>
        <w:t>nom</w:t>
      </w:r>
      <w:proofErr w:type="spellEnd"/>
      <w:r w:rsidR="005C2B5D" w:rsidRPr="00B14C15">
        <w:rPr>
          <w:sz w:val="20"/>
          <w:highlight w:val="yellow"/>
        </w:rPr>
        <w:t>}}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>{{</w:t>
      </w:r>
      <w:proofErr w:type="spellStart"/>
      <w:r w:rsidR="001E6FA1" w:rsidRPr="00B14C15">
        <w:rPr>
          <w:sz w:val="20"/>
          <w:highlight w:val="yellow"/>
        </w:rPr>
        <w:t>totRegOC</w:t>
      </w:r>
      <w:proofErr w:type="spellEnd"/>
      <w:r w:rsidR="001E6FA1" w:rsidRPr="00B14C15">
        <w:rPr>
          <w:sz w:val="20"/>
          <w:highlight w:val="yellow"/>
        </w:rPr>
        <w:t>}}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>{{</w:t>
      </w:r>
      <w:proofErr w:type="spellStart"/>
      <w:r w:rsidRPr="00C5030E">
        <w:rPr>
          <w:sz w:val="20"/>
          <w:highlight w:val="yellow"/>
        </w:rPr>
        <w:t>totRegCLPM</w:t>
      </w:r>
      <w:proofErr w:type="spellEnd"/>
      <w:r w:rsidRPr="00C5030E">
        <w:rPr>
          <w:sz w:val="20"/>
          <w:highlight w:val="yellow"/>
        </w:rPr>
        <w:t>}} {{</w:t>
      </w:r>
      <w:proofErr w:type="spellStart"/>
      <w:r w:rsidRPr="00C5030E">
        <w:rPr>
          <w:sz w:val="20"/>
          <w:highlight w:val="yellow"/>
        </w:rPr>
        <w:t>totRegOCM</w:t>
      </w:r>
      <w:proofErr w:type="spellEnd"/>
      <w:r w:rsidRPr="00C5030E">
        <w:rPr>
          <w:sz w:val="20"/>
          <w:highlight w:val="yellow"/>
        </w:rPr>
        <w:t>}}</w:t>
      </w:r>
      <w:r w:rsidR="00C5030E" w:rsidRPr="00C5030E">
        <w:rPr>
          <w:sz w:val="20"/>
          <w:highlight w:val="yellow"/>
        </w:rPr>
        <w:t xml:space="preserve"> {{</w:t>
      </w:r>
      <w:proofErr w:type="spellStart"/>
      <w:r w:rsidR="00C5030E" w:rsidRPr="00C5030E">
        <w:rPr>
          <w:sz w:val="20"/>
          <w:highlight w:val="yellow"/>
        </w:rPr>
        <w:t>anoM</w:t>
      </w:r>
      <w:proofErr w:type="spellEnd"/>
      <w:r w:rsidR="00C5030E" w:rsidRPr="00C5030E">
        <w:rPr>
          <w:sz w:val="20"/>
          <w:highlight w:val="yellow"/>
        </w:rPr>
        <w:t>}}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>{{</w:t>
      </w:r>
      <w:proofErr w:type="spellStart"/>
      <w:r w:rsidR="00085680" w:rsidRPr="00C5030E">
        <w:rPr>
          <w:sz w:val="20"/>
          <w:highlight w:val="yellow"/>
        </w:rPr>
        <w:t>nom</w:t>
      </w:r>
      <w:proofErr w:type="spellEnd"/>
      <w:r w:rsidR="00085680" w:rsidRPr="00C5030E">
        <w:rPr>
          <w:sz w:val="20"/>
          <w:highlight w:val="yellow"/>
        </w:rPr>
        <w:t>}}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>{{</w:t>
      </w:r>
      <w:proofErr w:type="spellStart"/>
      <w:r w:rsidR="005C2B5D" w:rsidRPr="00C5030E">
        <w:rPr>
          <w:highlight w:val="yellow"/>
        </w:rPr>
        <w:t>nom</w:t>
      </w:r>
      <w:proofErr w:type="spellEnd"/>
      <w:r w:rsidR="005C2B5D" w:rsidRPr="00C5030E">
        <w:rPr>
          <w:highlight w:val="yellow"/>
        </w:rPr>
        <w:t>}}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>{{mtoSecReg1}}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>{{mtoSecRegCLP1}}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>{{</w:t>
      </w:r>
      <w:proofErr w:type="spellStart"/>
      <w:r w:rsidR="00FD39F5" w:rsidRPr="00C5030E">
        <w:rPr>
          <w:sz w:val="20"/>
          <w:highlight w:val="yellow"/>
        </w:rPr>
        <w:t>nomCt</w:t>
      </w:r>
      <w:proofErr w:type="spellEnd"/>
      <w:r w:rsidR="00FD39F5" w:rsidRPr="00C5030E">
        <w:rPr>
          <w:sz w:val="20"/>
          <w:highlight w:val="yellow"/>
        </w:rPr>
        <w:t>}}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>{{mtoSecReg1}}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>{{</w:t>
      </w:r>
      <w:r w:rsidR="00760285" w:rsidRPr="00C5030E">
        <w:rPr>
          <w:sz w:val="20"/>
          <w:highlight w:val="yellow"/>
        </w:rPr>
        <w:t>mtoSecRegCLP1</w:t>
      </w:r>
      <w:r w:rsidR="00B37E95" w:rsidRPr="00C5030E">
        <w:rPr>
          <w:sz w:val="20"/>
          <w:highlight w:val="yellow"/>
        </w:rPr>
        <w:t>}}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>{{mtoSecReg</w:t>
      </w:r>
      <w:r w:rsidR="00EF430D" w:rsidRPr="00C5030E">
        <w:rPr>
          <w:sz w:val="20"/>
          <w:highlight w:val="yellow"/>
        </w:rPr>
        <w:t>Pct1</w:t>
      </w:r>
      <w:proofErr w:type="gramStart"/>
      <w:r w:rsidR="00EF430D" w:rsidRPr="00C5030E">
        <w:rPr>
          <w:sz w:val="20"/>
          <w:highlight w:val="yellow"/>
        </w:rPr>
        <w:t>}}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>{{mtoSecReg</w:t>
      </w:r>
      <w:r w:rsidR="00EF430D" w:rsidRPr="00C5030E">
        <w:rPr>
          <w:sz w:val="20"/>
          <w:highlight w:val="yellow"/>
        </w:rPr>
        <w:t>2</w:t>
      </w:r>
      <w:r w:rsidR="00EF430D" w:rsidRPr="00C5030E">
        <w:rPr>
          <w:sz w:val="20"/>
          <w:highlight w:val="yellow"/>
        </w:rPr>
        <w:t>}}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>{{mtoSecRegCLP</w:t>
      </w:r>
      <w:r w:rsidR="00EF430D" w:rsidRPr="00C5030E">
        <w:rPr>
          <w:sz w:val="20"/>
          <w:highlight w:val="yellow"/>
        </w:rPr>
        <w:t>2</w:t>
      </w:r>
      <w:r w:rsidR="00EF430D" w:rsidRPr="00C5030E">
        <w:rPr>
          <w:sz w:val="20"/>
          <w:highlight w:val="yellow"/>
        </w:rPr>
        <w:t>}}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>{{mtoSecRegPct</w:t>
      </w:r>
      <w:r w:rsidR="00EF430D" w:rsidRPr="00C5030E">
        <w:rPr>
          <w:sz w:val="20"/>
          <w:highlight w:val="yellow"/>
        </w:rPr>
        <w:t>2</w:t>
      </w:r>
      <w:proofErr w:type="gramStart"/>
      <w:r w:rsidR="00EF430D" w:rsidRPr="00C5030E">
        <w:rPr>
          <w:sz w:val="20"/>
          <w:highlight w:val="yellow"/>
        </w:rPr>
        <w:t>}}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>{{mtoSecReg</w:t>
      </w:r>
      <w:r w:rsidR="00EF430D" w:rsidRPr="00C5030E">
        <w:rPr>
          <w:sz w:val="20"/>
          <w:highlight w:val="yellow"/>
        </w:rPr>
        <w:t>3</w:t>
      </w:r>
      <w:r w:rsidR="00EF430D" w:rsidRPr="00C5030E">
        <w:rPr>
          <w:sz w:val="20"/>
          <w:highlight w:val="yellow"/>
        </w:rPr>
        <w:t>}}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>{{mtoSecRegCLP3}}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>{{mtoSecRegPct</w:t>
      </w:r>
      <w:r w:rsidR="00EF430D" w:rsidRPr="00C5030E">
        <w:rPr>
          <w:sz w:val="20"/>
          <w:highlight w:val="yellow"/>
        </w:rPr>
        <w:t>3</w:t>
      </w:r>
      <w:r w:rsidR="00EF430D" w:rsidRPr="00C5030E">
        <w:rPr>
          <w:sz w:val="20"/>
          <w:highlight w:val="yellow"/>
        </w:rPr>
        <w:t>}}%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>{{mtoSecReg</w:t>
      </w:r>
      <w:r w:rsidR="00510C10" w:rsidRPr="00C5030E">
        <w:rPr>
          <w:sz w:val="20"/>
          <w:highlight w:val="yellow"/>
        </w:rPr>
        <w:t>4</w:t>
      </w:r>
      <w:r w:rsidR="00510C10" w:rsidRPr="00C5030E">
        <w:rPr>
          <w:sz w:val="20"/>
          <w:highlight w:val="yellow"/>
        </w:rPr>
        <w:t>}}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>{{mtoSecRegCLP</w:t>
      </w:r>
      <w:r w:rsidR="003A5AFD" w:rsidRPr="00C5030E">
        <w:rPr>
          <w:sz w:val="20"/>
          <w:highlight w:val="yellow"/>
        </w:rPr>
        <w:t>4</w:t>
      </w:r>
      <w:r w:rsidR="003A5AFD" w:rsidRPr="00C5030E">
        <w:rPr>
          <w:sz w:val="20"/>
          <w:highlight w:val="yellow"/>
        </w:rPr>
        <w:t>}}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>{{mtoSecRegPct</w:t>
      </w:r>
      <w:r w:rsidR="003A5AFD" w:rsidRPr="00C5030E">
        <w:rPr>
          <w:sz w:val="20"/>
          <w:highlight w:val="yellow"/>
        </w:rPr>
        <w:t>4</w:t>
      </w:r>
      <w:r w:rsidR="003A5AFD" w:rsidRPr="00C5030E">
        <w:rPr>
          <w:sz w:val="20"/>
          <w:highlight w:val="yellow"/>
        </w:rPr>
        <w:t>}}%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{{mtoSecReg1</w:t>
            </w:r>
            <w:r w:rsidR="00B452CB" w:rsidRPr="00C5030E">
              <w:rPr>
                <w:sz w:val="20"/>
                <w:highlight w:val="yellow"/>
              </w:rPr>
              <w:t>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{{mtoSecRegCLP</w:t>
            </w:r>
            <w:r w:rsidRPr="00C5030E">
              <w:rPr>
                <w:sz w:val="20"/>
                <w:highlight w:val="yellow"/>
              </w:rPr>
              <w:t>1M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{{mtoSecRegPct1</w:t>
            </w:r>
            <w:r w:rsidRPr="00C5030E">
              <w:rPr>
                <w:sz w:val="20"/>
                <w:highlight w:val="yellow"/>
              </w:rPr>
              <w:t>M</w:t>
            </w:r>
            <w:r w:rsidRPr="00C5030E">
              <w:rPr>
                <w:sz w:val="20"/>
                <w:highlight w:val="yellow"/>
              </w:rPr>
              <w:t>}}</w:t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</w:t>
            </w:r>
            <w:r w:rsidRPr="00C5030E">
              <w:rPr>
                <w:sz w:val="20"/>
                <w:highlight w:val="yellow"/>
              </w:rPr>
              <w:t>2</w:t>
            </w:r>
            <w:r w:rsidR="00B452CB" w:rsidRPr="00C5030E">
              <w:rPr>
                <w:sz w:val="20"/>
                <w:highlight w:val="yellow"/>
              </w:rPr>
              <w:t>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{{mtoSecRegCLP</w:t>
            </w:r>
            <w:r w:rsidRPr="00C5030E">
              <w:rPr>
                <w:sz w:val="20"/>
                <w:highlight w:val="yellow"/>
              </w:rPr>
              <w:t>2M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{{mtoSecRegPct</w:t>
            </w:r>
            <w:r w:rsidRPr="00C5030E">
              <w:rPr>
                <w:sz w:val="20"/>
                <w:highlight w:val="yellow"/>
              </w:rPr>
              <w:t>2M</w:t>
            </w:r>
            <w:r w:rsidRPr="00C5030E">
              <w:rPr>
                <w:sz w:val="20"/>
                <w:highlight w:val="yellow"/>
              </w:rPr>
              <w:t>}}</w:t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</w:t>
            </w:r>
            <w:r w:rsidRPr="00C5030E">
              <w:rPr>
                <w:sz w:val="20"/>
                <w:highlight w:val="yellow"/>
              </w:rPr>
              <w:t>3M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{{mtoSecRegCLP3</w:t>
            </w:r>
            <w:r w:rsidRPr="00C5030E">
              <w:rPr>
                <w:sz w:val="20"/>
                <w:highlight w:val="yellow"/>
              </w:rPr>
              <w:t>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{{mtoSecRegPct</w:t>
            </w:r>
            <w:r w:rsidRPr="00C5030E">
              <w:rPr>
                <w:sz w:val="20"/>
                <w:highlight w:val="yellow"/>
              </w:rPr>
              <w:t>3M</w:t>
            </w:r>
            <w:r w:rsidRPr="00C5030E">
              <w:rPr>
                <w:sz w:val="20"/>
                <w:highlight w:val="yellow"/>
              </w:rPr>
              <w:t>}}</w:t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</w:t>
            </w:r>
            <w:r w:rsidRPr="00C5030E">
              <w:rPr>
                <w:sz w:val="20"/>
                <w:highlight w:val="yellow"/>
              </w:rPr>
              <w:t>4M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>{{mtoSecRegCLP</w:t>
            </w:r>
            <w:r w:rsidRPr="00C5030E">
              <w:rPr>
                <w:sz w:val="20"/>
                <w:highlight w:val="yellow"/>
              </w:rPr>
              <w:t>4M</w:t>
            </w:r>
            <w:r w:rsidRPr="00C5030E">
              <w:rPr>
                <w:sz w:val="20"/>
                <w:highlight w:val="yellow"/>
              </w:rPr>
              <w:t>}}</w:t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>{{mtoSecRegPct</w:t>
            </w:r>
            <w:r w:rsidRPr="00C5030E">
              <w:rPr>
                <w:sz w:val="20"/>
                <w:highlight w:val="yellow"/>
              </w:rPr>
              <w:t>4M</w:t>
            </w:r>
            <w:r w:rsidRPr="00C5030E">
              <w:rPr>
                <w:sz w:val="20"/>
                <w:highlight w:val="yellow"/>
              </w:rPr>
              <w:t>}}</w:t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>{{</w:t>
      </w:r>
      <w:r w:rsidR="00FF237D" w:rsidRPr="002F7F07">
        <w:rPr>
          <w:sz w:val="20"/>
        </w:rPr>
        <w:t>mtoSecRegGrf}}</w:t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