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Document Title</w:t>
      </w:r>
    </w:p>
    <w:p>
      <w:pPr>
        <w:pStyle w:val="NuevoEstilo"/>
      </w:pPr>
      <w:r>
        <w:t>Document siubTitle</w:t>
      </w:r>
    </w:p>
    <w:p>
      <w:pPr>
        <w:pStyle w:val="NuevoEstilo"/>
        <w:jc w:val="both"/>
      </w:pPr>
      <w:r>
        <w:rPr>
          <w:b/>
          <w:sz w:val="28"/>
        </w:rPr>
        <w:t>ChileCompra se despliega en Coquimbo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229.570 millones de pesos a través de www.mercadopublico.cl en la Región de Coquimbor con 51.925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6 de noviembre, ChileCompra visitó la región de Coquimbo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$229.570 millones se transaron en Mercado Público entre enero y agosto 2023 en la región de Coquimbo.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229.570 millones de pesos (US$ 282 millones) a través de www.mercadopublico.cl en la Región de Coquimbo con 51.925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MOP - DIRECCIÓN DE VIALIDAD (24.261.147.200 pesos); SERVICIO DE SALUD COQUIMBO HOSPITAL LA SERENA (23.331.999.868 pesos); SERVICIO DE SALUD COQUIMBO HOSPITAL DE COQUIMBO (23.301.697.662 pesos). Por su parte, los rubros más solicitados fueron: Obras (US$ 44.732.438); Equipamiento y suministros médicos (US$ 28.324.322); Servicios de construcción y mantenimiento (US$ 26.597.511).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MINISTERIO DE OBRAS PUBLICAS DIREC CION GRAL DE OO PP DCYF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821-2-SE23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Reposición Escuela Básica Canela Alta, Canela.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INMOBILIARIA E INVERSIONES QUILODRAN LTDA.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16.928.230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5261-3-SE23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Global Mix  Limarí Central IV etapa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Flesan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9.649.646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5261-4-SE23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Global mixto Elqui, rural, IV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Bitumix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9.439.842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$73.470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Coquimbo, Municipalidades lideran las compras con 73.470 millones de pesos transados, lo que equivale a un 32% de las transacciones por sector en la región. Le sigue el sector Salud con 72.981 millones transados, esto un 32%, luego viene Obras Públicas con 51.307 millones de pesos transados (22%) y luego Gob. Central, Universidades con 27.958 millones de pesos transados (12%).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Coquimb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Coquimbo se generaron oportunidades por la modalidad Compra Ágil -que permite mayor participación de las Mipymes en compras de menores montos (igual o menor a 30 UTM)- por $13.026 millones, las que se tradujeron en 20.253 órdenes de compra emitidas por los organismos públicos de la región. Se observó un crecimiento de 33% (variación nominal) entre el 2022 y el 2023 en los montos transados en la Compra Ágil en la región, con una diferencia de 3.392 en órdenes de compra el 2023 si se compara con el 2022.</w:t>
      </w:r>
    </w:p>
    <w:p>
      <w:pPr>
        <w:pStyle w:val="NuevoEstilo"/>
      </w:pPr>
      <w:r>
        <w:t xml:space="preserve"> </w:t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