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Araucanía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413.351 millones de pesos a través de www.mercadopublico.cl en la Región de La Araucanía con 94.605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22 de noviembre, ChileCompra visitó la región de Araucanía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$413.351 millones se transaron en Mercado Público entre enero y agosto 2023 en la región de Araucanía.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413.351 millones de pesos (US$ 507 millones) a través de www.mercadopublico.cl en la Región de Araucanía con 94.605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HOSPITAL DOCTOR HERNÁN HENRÍQUEZ ARAVENA (52.424.901.378 pesos); MOP - DIRECCIÓN DE VIALIDAD (37.434.489.729 pesos); I MUNICIPALIDAD DE TEMUCO (25.275.701.323 pesos). Por su parte, los rubros más solicitados fueron: Obras (US$ 52.753.660); Equipamiento y suministros médicos (US$ 47.110.395); Servicios profesionales, administrativos y consultorías de gestión empresarial (US$ 42.532.004).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MINISTERIO DE OBRAS PUBLICAS DIREC CION GRAL DE OO PP DCYF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826-49-SE23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REPOSICIÓN CENTRO DE SALUD INTERCULTURAL BOROA FIL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Constructora Worner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9.339.906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2261-20-SE23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Conservación Cuesta Lastarria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Apia SPA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6.416.851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MOP - Dirección de Vialidad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2261-26-SE23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CB Intermedio Allipen-Folilco-Lafquen, 2 llamado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CONSTRUCTORA SIERRA NEVADA S 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4.026.143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Municipalidades lidera las compras con $150.202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Araucanía, Municipalidades lideran las compras con 150.202 millones de pesos transados, lo que equivale a un 36% de las transacciones por sector en la región. Le sigue el sector Salud con 130.063 millones transados, esto un 31%, luego viene Obras Públicas con 61.523 millones de pesos transados (15%) y luego Gob. Central, Universidades con 52.162 millones de pesos transados (13%).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La Araucaní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Araucanía se generaron oportunidades por la modalidad Compra Ágil -que permite mayor participación de las Mipymes en compras de menores montos (igual o menor a 30 UTM)- por $25.428 millones, las que se tradujeron en 34.775 órdenes de compra emitidas por los organismos públicos de la región. Se observó un crecimiento de 37% (variación nominal) entre el 2022 y el 2023 en los montos transados en la Compra Ágil en la región, con una diferencia de 5.827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