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Metropolitana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4.782.666 millones de pesos a través de www.mercadopublico.cl en la Región de Metropolitana con 360.334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16, 17 y 20 de noviembre, ChileCompra visitó la región de Metropolitana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$4.782.666 millones se transaron en Mercado Público entre enero y agosto 2023 en la región de Metropolitana.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4.782.666 millones de pesos (US$ 5.892 millones) a través de www.mercadopublico.cl en la Región de Metropolitana con 360.334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CENTRAL DE ABASTECIMIENTO S.N.S.S. -  CENABAST (1.121.012.365.956 pesos); JUNTA NACIONAL DE AUXILIO ESCOLAR Y BECA (462.411.730.730 pesos); MOP - DIRECCIÓN DE VIALIDAD (247.200.979.648 pesos). Por su parte, los rubros más solicitados fueron: Medicamentos y productos farmacéuticos (US$ 996.930.446); Obras (US$ 389.582.535); Salud, servicios sanitarios y alimentación (US$ 335.886.173).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JUNTA NACIONAL DE AUXILIO ESCOLAR Y BECA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85-62-SE23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TD BAES NORMAL 2023 SODEXO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Sodexo Soluciones de Motivación Chile S.A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213.833.873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DIRECCION DE LOGISTICA DE CARABINEROS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5240-18-SE23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SUMINISTRO DE COMBUSTIBLE (GASOLINA 97 OCTANOS Y PETRÓLEO DIÉSEL) PARA EL PARQUE VEHICULAR DE CARABINEROS DE CHILE POR UN PERIODO DE 36 MESES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COPEC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103.134.145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JUNTA NACIONAL DE AUXILIO ESCOLAR Y BECA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85-56-SE23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TD BAES NORMAL 2023 EDENRED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EDENRED CHILE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104.350.835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Salud lidera las compras con $1.868.750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Metropolitana, Salud lideran las compras con 1.868.750 millones de pesos transados, lo que equivale a un 39% de las transacciones por sector en la región. Le sigue el sector Gob. Central, Universidades con 1.396.432 millones transados, esto un 29%, luego viene Municipalidades con 645.064 millones de pesos transados (13%) y luego Obras Públicas con 457.064 millones de pesos transados (10%).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Metropolita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Metropolitana se generaron oportunidades por la modalidad Compra Ágil -que permite mayor participación de las Mipymes en compras de menores montos (igual o menor a 30 UTM)- por $98.967 millones, las que se tradujeron en 125.121 órdenes de compra emitidas por los organismos públicos de la región. Se observó un crecimiento de 61% (variación nominal) entre el 2022 y el 2023 en los montos transados en la Compra Ágil en la región, con una diferencia de 32.473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